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tblCellSpacing w:w="15" w:type="dxa"/>
        <w:tblCellMar>
          <w:top w:w="375" w:type="dxa"/>
          <w:left w:w="375" w:type="dxa"/>
          <w:bottom w:w="375" w:type="dxa"/>
          <w:right w:w="375" w:type="dxa"/>
        </w:tblCellMar>
        <w:tblLook w:val="04A0" w:firstRow="1" w:lastRow="0" w:firstColumn="1" w:lastColumn="0" w:noHBand="0" w:noVBand="1"/>
      </w:tblPr>
      <w:tblGrid>
        <w:gridCol w:w="8365"/>
        <w:gridCol w:w="801"/>
      </w:tblGrid>
      <w:tr w:rsidR="00967A47" w:rsidTr="00967A47">
        <w:trPr>
          <w:tblCellSpacing w:w="15" w:type="dxa"/>
        </w:trPr>
        <w:tc>
          <w:tcPr>
            <w:tcW w:w="5000" w:type="pct"/>
            <w:gridSpan w:val="2"/>
            <w:vAlign w:val="center"/>
            <w:hideMark/>
          </w:tcPr>
          <w:p w:rsidR="00967A47" w:rsidRDefault="00967A47">
            <w:pPr>
              <w:jc w:val="center"/>
            </w:pPr>
            <w:r>
              <w:rPr>
                <w:sz w:val="27"/>
                <w:szCs w:val="27"/>
              </w:rPr>
              <w:t xml:space="preserve">Ley contra la Corrupción y el Enriquecimiento Ilícito en la Función Pública </w:t>
            </w:r>
          </w:p>
        </w:tc>
      </w:tr>
      <w:tr w:rsidR="00967A47" w:rsidTr="00967A47">
        <w:trPr>
          <w:tblCellSpacing w:w="15" w:type="dxa"/>
        </w:trPr>
        <w:tc>
          <w:tcPr>
            <w:tcW w:w="0" w:type="auto"/>
            <w:vAlign w:val="center"/>
            <w:hideMark/>
          </w:tcPr>
          <w:p w:rsidR="00967A47" w:rsidRDefault="00967A47" w:rsidP="00967A47">
            <w:pPr>
              <w:jc w:val="center"/>
            </w:pPr>
            <w:bookmarkStart w:id="0" w:name="up"/>
            <w:bookmarkEnd w:id="0"/>
            <w:r>
              <w:rPr>
                <w:b/>
              </w:rPr>
              <w:t>Nº 8422</w:t>
            </w:r>
          </w:p>
          <w:p w:rsidR="00967A47" w:rsidRDefault="00967A47" w:rsidP="00967A47">
            <w:pPr>
              <w:spacing w:after="240"/>
              <w:rPr>
                <w:rFonts w:ascii="Times New Roman" w:eastAsia="Times New Roman" w:hAnsi="Times New Roman"/>
                <w:sz w:val="20"/>
                <w:szCs w:val="20"/>
              </w:rPr>
            </w:pPr>
          </w:p>
          <w:p w:rsidR="00967A47" w:rsidRDefault="00967A47" w:rsidP="00967A47">
            <w:pPr>
              <w:jc w:val="center"/>
            </w:pPr>
            <w:r>
              <w:rPr>
                <w:b/>
                <w:color w:val="000000"/>
              </w:rPr>
              <w:t>LA ASAMBLEA LEGISLATIVA</w:t>
            </w:r>
          </w:p>
          <w:p w:rsidR="00967A47" w:rsidRDefault="00967A47" w:rsidP="00967A47">
            <w:pPr>
              <w:spacing w:after="240"/>
              <w:rPr>
                <w:rFonts w:ascii="Times New Roman" w:eastAsia="Times New Roman" w:hAnsi="Times New Roman"/>
                <w:sz w:val="20"/>
                <w:szCs w:val="20"/>
              </w:rPr>
            </w:pPr>
          </w:p>
          <w:p w:rsidR="00967A47" w:rsidRDefault="00967A47" w:rsidP="00967A47">
            <w:pPr>
              <w:jc w:val="center"/>
            </w:pPr>
            <w:r>
              <w:rPr>
                <w:b/>
                <w:color w:val="000000"/>
              </w:rPr>
              <w:t>DE LA REPÚBLICA DE COSTA RICA</w:t>
            </w:r>
          </w:p>
          <w:p w:rsidR="00967A47" w:rsidRDefault="00967A47" w:rsidP="00967A47">
            <w:pPr>
              <w:spacing w:after="240"/>
              <w:rPr>
                <w:rFonts w:ascii="Times New Roman" w:eastAsia="Times New Roman" w:hAnsi="Times New Roman"/>
                <w:sz w:val="20"/>
                <w:szCs w:val="20"/>
              </w:rPr>
            </w:pPr>
          </w:p>
          <w:p w:rsidR="00967A47" w:rsidRDefault="00967A47" w:rsidP="00967A47">
            <w:pPr>
              <w:jc w:val="center"/>
            </w:pPr>
            <w:r>
              <w:rPr>
                <w:b/>
                <w:color w:val="000000"/>
              </w:rPr>
              <w:t> </w:t>
            </w:r>
          </w:p>
          <w:p w:rsidR="00967A47" w:rsidRDefault="00967A47" w:rsidP="00967A47">
            <w:pPr>
              <w:spacing w:after="240"/>
              <w:rPr>
                <w:rFonts w:ascii="Times New Roman" w:eastAsia="Times New Roman" w:hAnsi="Times New Roman"/>
                <w:sz w:val="20"/>
                <w:szCs w:val="20"/>
              </w:rPr>
            </w:pPr>
          </w:p>
          <w:p w:rsidR="00967A47" w:rsidRDefault="00967A47" w:rsidP="00967A47">
            <w:pPr>
              <w:jc w:val="center"/>
            </w:pPr>
            <w:r>
              <w:t>DECRETA:</w:t>
            </w:r>
          </w:p>
          <w:p w:rsidR="00967A47" w:rsidRDefault="00967A47" w:rsidP="00967A47">
            <w:pPr>
              <w:spacing w:after="240"/>
              <w:rPr>
                <w:rFonts w:ascii="Times New Roman" w:eastAsia="Times New Roman" w:hAnsi="Times New Roman"/>
                <w:sz w:val="20"/>
                <w:szCs w:val="20"/>
              </w:rPr>
            </w:pPr>
          </w:p>
          <w:p w:rsidR="00967A47" w:rsidRDefault="00967A47" w:rsidP="00967A47">
            <w:pPr>
              <w:jc w:val="center"/>
            </w:pPr>
            <w:r>
              <w:t> </w:t>
            </w:r>
          </w:p>
          <w:p w:rsidR="00967A47" w:rsidRDefault="00967A47" w:rsidP="00967A47">
            <w:pPr>
              <w:spacing w:after="240"/>
              <w:rPr>
                <w:rFonts w:ascii="Times New Roman" w:eastAsia="Times New Roman" w:hAnsi="Times New Roman"/>
                <w:sz w:val="20"/>
                <w:szCs w:val="20"/>
              </w:rPr>
            </w:pPr>
          </w:p>
          <w:p w:rsidR="00967A47" w:rsidRDefault="00967A47" w:rsidP="00967A47">
            <w:pPr>
              <w:jc w:val="center"/>
            </w:pPr>
            <w:r>
              <w:rPr>
                <w:b/>
                <w:color w:val="000000"/>
              </w:rPr>
              <w:t>LEY CONTRA LA CORRUPCIÓN Y EL ENRIQUECIMIENTO</w:t>
            </w:r>
          </w:p>
          <w:p w:rsidR="00967A47" w:rsidRDefault="00967A47" w:rsidP="00967A47">
            <w:pPr>
              <w:spacing w:after="240"/>
              <w:rPr>
                <w:rFonts w:ascii="Times New Roman" w:eastAsia="Times New Roman" w:hAnsi="Times New Roman"/>
                <w:sz w:val="20"/>
                <w:szCs w:val="20"/>
              </w:rPr>
            </w:pPr>
          </w:p>
          <w:p w:rsidR="00967A47" w:rsidRDefault="00967A47" w:rsidP="00967A47">
            <w:pPr>
              <w:jc w:val="center"/>
            </w:pPr>
            <w:r>
              <w:rPr>
                <w:b/>
                <w:color w:val="000000"/>
              </w:rPr>
              <w:t>ILÍCITO EN LA FUNCIÓN PÚBLICA</w:t>
            </w:r>
          </w:p>
          <w:p w:rsidR="00967A47" w:rsidRDefault="00967A47" w:rsidP="00967A47">
            <w:pPr>
              <w:spacing w:after="240"/>
              <w:rPr>
                <w:rFonts w:ascii="Times New Roman" w:eastAsia="Times New Roman" w:hAnsi="Times New Roman"/>
                <w:sz w:val="20"/>
                <w:szCs w:val="20"/>
              </w:rPr>
            </w:pPr>
          </w:p>
          <w:p w:rsidR="00967A47" w:rsidRDefault="00967A47" w:rsidP="00967A47">
            <w:pPr>
              <w:jc w:val="center"/>
            </w:pPr>
            <w:r>
              <w:rPr>
                <w:b/>
                <w:color w:val="000000"/>
              </w:rPr>
              <w:t> </w:t>
            </w:r>
          </w:p>
          <w:p w:rsidR="00967A47" w:rsidRDefault="00967A47" w:rsidP="00967A47">
            <w:pPr>
              <w:spacing w:after="240"/>
              <w:rPr>
                <w:rFonts w:ascii="Times New Roman" w:eastAsia="Times New Roman" w:hAnsi="Times New Roman"/>
                <w:sz w:val="20"/>
                <w:szCs w:val="20"/>
              </w:rPr>
            </w:pPr>
          </w:p>
          <w:p w:rsidR="00967A47" w:rsidRDefault="00967A47" w:rsidP="00967A47">
            <w:pPr>
              <w:jc w:val="center"/>
            </w:pPr>
            <w:r>
              <w:rPr>
                <w:b/>
                <w:bCs/>
                <w:color w:val="000000"/>
              </w:rPr>
              <w:t>CAPÍTULO I</w:t>
            </w:r>
          </w:p>
          <w:p w:rsidR="00967A47" w:rsidRDefault="00967A47" w:rsidP="00967A47">
            <w:pPr>
              <w:spacing w:after="240"/>
              <w:rPr>
                <w:rFonts w:ascii="Times New Roman" w:eastAsia="Times New Roman" w:hAnsi="Times New Roman"/>
                <w:sz w:val="20"/>
                <w:szCs w:val="20"/>
              </w:rPr>
            </w:pPr>
          </w:p>
          <w:p w:rsidR="00967A47" w:rsidRDefault="00967A47" w:rsidP="00967A47">
            <w:pPr>
              <w:jc w:val="center"/>
            </w:pPr>
            <w:r>
              <w:rPr>
                <w:b/>
                <w:bCs/>
                <w:color w:val="000000"/>
              </w:rPr>
              <w:t>Disposiciones generales</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b/>
                <w:bCs/>
              </w:rPr>
              <w:t> </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Artículo 1º-</w:t>
            </w:r>
            <w:r>
              <w:rPr>
                <w:b/>
                <w:bCs/>
                <w:color w:val="000000"/>
              </w:rPr>
              <w:t>Fines</w:t>
            </w:r>
            <w:r>
              <w:rPr>
                <w:color w:val="000000"/>
              </w:rPr>
              <w:t>. Los fines de la presente Ley serán prevenir, detectar y sancionar la corrupción en el ejercicio de la función pública.</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lastRenderedPageBreak/>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5"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2º-</w:t>
            </w:r>
            <w:r>
              <w:rPr>
                <w:b/>
                <w:bCs/>
                <w:color w:val="000000"/>
              </w:rPr>
              <w:t>Servidor público</w:t>
            </w:r>
            <w:r>
              <w:rPr>
                <w:color w:val="000000"/>
              </w:rPr>
              <w:t>. Para los efectos de esta Ley, se considerará servidor público toda persona que presta sus servicios en los órganos y en los entes de la Administración Pública, estatal y no estatal, a nombre y por cuenta de esta y como parte de su organización, en virtud de un acto de investidura y con entera independencia del carácter imperativo, representativo, remunerado, permanente o público de la actividad respectiva. Los términos funcionario, servidor y empleado público serán equivalentes para los efectos de esta Ley.</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Las disposiciones de la presente Ley serán aplicables a los funcionarios de hecho y a las personas que laboran para las empresas públicas en cualquiera de sus formas y para los entes públicos encargados de gestiones sometidas al derecho común; asimismo, a los apoderados, administradores, gerentes y representantes legales de las personas jurídicas que custodien, administren o exploten fondos, bienes o servicios de la Administración Pública, por cualquier título o modalidad de gestión.</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6"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3º-</w:t>
            </w:r>
            <w:r>
              <w:rPr>
                <w:b/>
                <w:bCs/>
                <w:color w:val="000000"/>
              </w:rPr>
              <w:t>Deber de probidad</w:t>
            </w:r>
            <w:r>
              <w:rPr>
                <w:color w:val="000000"/>
              </w:rPr>
              <w:t>. El funcionario público estará obligado a orientar su gestión a la satisfacción del interés público.  Este deber se manifestará, fundamentalmente, al identificar y atender las necesidades colectivas prioritarias, de manera planificada, regular, eficiente, continua y en condiciones de igualdad para los habitantes de la República; asimismo, al demostrar rectitud y buena fe en el ejercicio de las potestades que le confiere la ley; asegurarse de que las decisiones que adopte en cumplimiento de sus atribuciones se ajustan a la imparcialidad y a los objetivos propios de la institución en la que se desempeña y, finalmente, al administrar los recursos públicos con apego a los principios de legalidad, eficacia, economía y eficiencia, rindiendo cuentas satisfactoriamente.</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7"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4º-</w:t>
            </w:r>
            <w:r>
              <w:rPr>
                <w:b/>
                <w:bCs/>
                <w:color w:val="000000"/>
              </w:rPr>
              <w:t>Violación al deber de probidad</w:t>
            </w:r>
            <w:r>
              <w:rPr>
                <w:color w:val="000000"/>
              </w:rPr>
              <w:t>. Sin perjuicio de las responsabilidades civiles y penales que procedan, la infracción del deber de probidad, debidamente comprobada y previa defensa, constituirá justa causa para la separación del cargo público sin responsabilidad patronal.</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8"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5º-</w:t>
            </w:r>
            <w:r>
              <w:rPr>
                <w:b/>
                <w:bCs/>
                <w:color w:val="000000"/>
              </w:rPr>
              <w:t>Fraude de ley</w:t>
            </w:r>
            <w:r>
              <w:rPr>
                <w:color w:val="000000"/>
              </w:rPr>
              <w:t>. La función administrativa ejercida por el Estado y los demás entes públicos, así como la conducta de sujetos de derecho privado en las relaciones con estos que se realicen al amparo del texto de una norma jurídica y persigan un resultado que no se conforme a la satisfacción de los fines públicos y el ordenamiento jurídico, se considerarán ejecutadas en fraude de ley y no impedirán la debida aplicación de la norma jurídica que se haya tratado de eludir.</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9"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t>Artículo 6º-</w:t>
            </w:r>
            <w:r>
              <w:rPr>
                <w:b/>
                <w:bCs/>
              </w:rPr>
              <w:t xml:space="preserve">Nulidad de los actos o contratos derivados del </w:t>
            </w:r>
            <w:r>
              <w:rPr>
                <w:b/>
                <w:bCs/>
                <w:color w:val="000000"/>
              </w:rPr>
              <w:t>fraude de ley</w:t>
            </w:r>
            <w:r>
              <w:rPr>
                <w:color w:val="000000"/>
              </w:rPr>
              <w:t>. El fraude de ley acarreará la nulidad del acto administrativo o del contrato derivado de él y la indemnización por los daños y perjuicios causados a la Administración Pública o a terceros. En vía administrativa, la nulidad podrá ser declarada por la respectiva entidad pública o por la Contraloría General de la República, si la normativa que se haya tratado de eludir pertenece al ordenamiento que regula y protege la Hacienda Pública.</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 xml:space="preserve">Si la nulidad versa sobre actos declaratorios de derechos, deberá iniciarse el respectivo proceso de </w:t>
            </w:r>
            <w:proofErr w:type="spellStart"/>
            <w:r>
              <w:rPr>
                <w:color w:val="000000"/>
              </w:rPr>
              <w:t>lesividad</w:t>
            </w:r>
            <w:proofErr w:type="spellEnd"/>
            <w:r>
              <w:rPr>
                <w:color w:val="000000"/>
              </w:rPr>
              <w:t>, salvo lo dispuesto en el artículo 173 de la Ley General de la Administración Pública, Nº 6227, de 2 de mayo de 1978, en cuyo caso deberá actuarse de conformidad con lo allí establecido.</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10"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7º-</w:t>
            </w:r>
            <w:r>
              <w:rPr>
                <w:b/>
                <w:bCs/>
                <w:color w:val="000000"/>
              </w:rPr>
              <w:t>Libre acceso a la información</w:t>
            </w:r>
            <w:r>
              <w:rPr>
                <w:color w:val="000000"/>
              </w:rPr>
              <w:t xml:space="preserve">. Es de interés público la información relacionada con el ingreso, la </w:t>
            </w:r>
            <w:proofErr w:type="spellStart"/>
            <w:r>
              <w:rPr>
                <w:color w:val="000000"/>
              </w:rPr>
              <w:t>presupuestación</w:t>
            </w:r>
            <w:proofErr w:type="spellEnd"/>
            <w:r>
              <w:rPr>
                <w:color w:val="000000"/>
              </w:rPr>
              <w:t>, la custodia, la fiscalización, la administración, la inversión y el gasto de los fondos públicos, así como la información necesaria para asegurar la efectividad de la presente Ley, en relación con hechos y conductas de los funcionarios públicos.</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No obstante, la Contraloría General de la República solo podrá revisar documentos de carácter privado según lo dispuesto en el artículo 24 de la Constitución Política y en el artículo 11 de la presente Ley.</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11"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ind w:firstLine="708"/>
              <w:jc w:val="both"/>
            </w:pPr>
            <w:r>
              <w:t>Artículo 8º-</w:t>
            </w:r>
            <w:r>
              <w:rPr>
                <w:b/>
                <w:lang w:val="es-ES_tradnl"/>
              </w:rPr>
              <w:t xml:space="preserve">Protección de los derechos del denunciante de buena fe y confidencialidad de la información que origine la apertura del procedimiento </w:t>
            </w:r>
            <w:proofErr w:type="gramStart"/>
            <w:r>
              <w:rPr>
                <w:b/>
                <w:lang w:val="es-ES_tradnl"/>
              </w:rPr>
              <w:t>administrativo</w:t>
            </w:r>
            <w:r>
              <w:rPr>
                <w:i/>
                <w:lang w:val="es-ES_tradnl"/>
              </w:rPr>
              <w:t>(</w:t>
            </w:r>
            <w:proofErr w:type="gramEnd"/>
            <w:r>
              <w:rPr>
                <w:i/>
                <w:lang w:val="es-ES_tradnl"/>
              </w:rPr>
              <w:t>*)</w:t>
            </w:r>
            <w:r>
              <w:rPr>
                <w:lang w:val="es-ES_tradnl"/>
              </w:rPr>
              <w:t xml:space="preserve"> . </w:t>
            </w:r>
            <w:r>
              <w:t xml:space="preserve">La Contraloría General de la República, la Administración y las auditorías internas de las instituciones y empresas públicas, guardarán confidencialidad respecto de la identidad de los ciudadanos que, de buena fe, presenten ante sus oficinas denuncias por actos de corrupción.   </w:t>
            </w:r>
          </w:p>
          <w:p w:rsidR="00967A47" w:rsidRDefault="00967A47" w:rsidP="00967A47">
            <w:pPr>
              <w:spacing w:after="240"/>
              <w:rPr>
                <w:rFonts w:ascii="Times New Roman" w:eastAsia="Times New Roman" w:hAnsi="Times New Roman"/>
                <w:sz w:val="20"/>
                <w:szCs w:val="20"/>
              </w:rPr>
            </w:pPr>
          </w:p>
          <w:p w:rsidR="00967A47" w:rsidRDefault="00967A47" w:rsidP="00967A47">
            <w:pPr>
              <w:pStyle w:val="NormalWeb"/>
              <w:jc w:val="both"/>
              <w:rPr>
                <w:sz w:val="20"/>
                <w:szCs w:val="20"/>
              </w:rPr>
            </w:pPr>
            <w:r>
              <w:rPr>
                <w:rFonts w:ascii="Verdana" w:hAnsi="Verdana"/>
                <w:bCs/>
                <w:i/>
                <w:iCs/>
                <w:sz w:val="20"/>
                <w:szCs w:val="20"/>
              </w:rPr>
              <w:t>(*)</w:t>
            </w:r>
            <w:r>
              <w:rPr>
                <w:rFonts w:ascii="Verdana" w:hAnsi="Verdana"/>
                <w:b/>
                <w:bCs/>
                <w:i/>
                <w:iCs/>
                <w:sz w:val="20"/>
                <w:szCs w:val="20"/>
              </w:rPr>
              <w:t xml:space="preserve"> </w:t>
            </w:r>
            <w:r>
              <w:rPr>
                <w:rFonts w:ascii="Verdana" w:hAnsi="Verdana"/>
                <w:i/>
                <w:iCs/>
                <w:sz w:val="20"/>
                <w:szCs w:val="20"/>
              </w:rPr>
              <w:t>(Así reformado su título por el artículo 2° inciso a) de la ley N° 8630 del 17 de enero de 2008)</w:t>
            </w:r>
            <w:r>
              <w:rPr>
                <w:rFonts w:ascii="Verdana" w:hAnsi="Verdana"/>
                <w:sz w:val="20"/>
                <w:szCs w:val="20"/>
              </w:rPr>
              <w:t xml:space="preserve"> </w:t>
            </w:r>
          </w:p>
          <w:p w:rsidR="00967A47" w:rsidRDefault="00967A47" w:rsidP="00967A47">
            <w:pPr>
              <w:spacing w:after="240"/>
              <w:rPr>
                <w:rFonts w:ascii="Times New Roman" w:eastAsia="Times New Roman" w:hAnsi="Times New Roman"/>
                <w:sz w:val="20"/>
                <w:szCs w:val="20"/>
              </w:rPr>
            </w:pPr>
          </w:p>
          <w:p w:rsidR="00967A47" w:rsidRDefault="00967A47" w:rsidP="00967A47">
            <w:pPr>
              <w:pStyle w:val="NormalWeb"/>
              <w:ind w:firstLine="708"/>
              <w:jc w:val="both"/>
              <w:rPr>
                <w:sz w:val="20"/>
                <w:szCs w:val="20"/>
              </w:rPr>
            </w:pPr>
            <w:r>
              <w:rPr>
                <w:rFonts w:ascii="Verdana" w:hAnsi="Verdana"/>
                <w:sz w:val="20"/>
                <w:szCs w:val="20"/>
              </w:rPr>
              <w:t xml:space="preserve">La información, la documentación y otras evidencias de las investigaciones que efectúen las auditorías internas, la Administración y la Contraloría General de la República, cuyos resultados puedan originar la apertura de un procedimiento administrativo, serán confidenciales durante la formulación del informe respectivo. Una vez notificado el informe correspondiente y hasta la resolución final del procedimiento administrativo, la información contenida en el expediente será calificada como información confidencial, excepto para las partes involucradas, las cuales tendrán libre acceso a todos los documentos y las pruebas que consten en el expediente administrativo. </w:t>
            </w:r>
          </w:p>
          <w:p w:rsidR="00967A47" w:rsidRDefault="00967A47" w:rsidP="00967A47">
            <w:pPr>
              <w:spacing w:after="240"/>
              <w:rPr>
                <w:rFonts w:ascii="Times New Roman" w:eastAsia="Times New Roman" w:hAnsi="Times New Roman"/>
                <w:sz w:val="20"/>
                <w:szCs w:val="20"/>
              </w:rPr>
            </w:pPr>
          </w:p>
          <w:p w:rsidR="00967A47" w:rsidRDefault="00967A47" w:rsidP="00967A47">
            <w:pPr>
              <w:pStyle w:val="NormalWeb"/>
              <w:ind w:firstLine="708"/>
              <w:jc w:val="both"/>
              <w:rPr>
                <w:sz w:val="20"/>
                <w:szCs w:val="20"/>
              </w:rPr>
            </w:pPr>
            <w:r>
              <w:rPr>
                <w:rFonts w:ascii="Verdana" w:hAnsi="Verdana"/>
                <w:sz w:val="20"/>
                <w:szCs w:val="20"/>
              </w:rPr>
              <w:t xml:space="preserve">No obstante, las autoridades judiciales podrán solicitar la información pertinente, ante la posible existencia de un delito contra el honor de la persona denunciada. </w:t>
            </w:r>
            <w:r>
              <w:rPr>
                <w:rFonts w:ascii="Verdana" w:hAnsi="Verdana"/>
                <w:sz w:val="20"/>
                <w:szCs w:val="20"/>
              </w:rPr>
              <w:tab/>
            </w:r>
          </w:p>
          <w:p w:rsidR="00967A47" w:rsidRDefault="00967A47" w:rsidP="00967A47">
            <w:pPr>
              <w:spacing w:after="240"/>
              <w:rPr>
                <w:rFonts w:ascii="Times New Roman" w:eastAsia="Times New Roman" w:hAnsi="Times New Roman"/>
                <w:sz w:val="20"/>
                <w:szCs w:val="20"/>
              </w:rPr>
            </w:pPr>
          </w:p>
          <w:p w:rsidR="00967A47" w:rsidRDefault="00967A47" w:rsidP="00967A47">
            <w:pPr>
              <w:pStyle w:val="NormalWeb"/>
              <w:ind w:firstLine="708"/>
              <w:jc w:val="both"/>
              <w:rPr>
                <w:sz w:val="20"/>
                <w:szCs w:val="20"/>
              </w:rPr>
            </w:pPr>
            <w:r>
              <w:rPr>
                <w:rFonts w:ascii="Verdana" w:hAnsi="Verdana"/>
                <w:sz w:val="20"/>
                <w:szCs w:val="20"/>
                <w:lang w:val="es-ES_tradnl"/>
              </w:rPr>
              <w:t>Las personas que, de buena fe, denuncien los actos de corrupción descritos en el Código Penal, Ley N° 4573, y en esta Ley, serán protegidas por las autoridades policiales administrativas, conforme a los mecanismos legales previstos para tal efecto, a petición de parte.</w:t>
            </w:r>
            <w:r>
              <w:rPr>
                <w:rFonts w:ascii="Verdana" w:hAnsi="Verdana"/>
                <w:sz w:val="20"/>
                <w:szCs w:val="20"/>
              </w:rPr>
              <w:t xml:space="preserve"> </w:t>
            </w:r>
          </w:p>
          <w:p w:rsidR="00967A47" w:rsidRDefault="00967A47" w:rsidP="00967A47">
            <w:pPr>
              <w:spacing w:after="240"/>
              <w:rPr>
                <w:rFonts w:ascii="Times New Roman" w:eastAsia="Times New Roman" w:hAnsi="Times New Roman"/>
                <w:sz w:val="20"/>
                <w:szCs w:val="20"/>
              </w:rPr>
            </w:pPr>
          </w:p>
          <w:p w:rsidR="00967A47" w:rsidRDefault="00967A47" w:rsidP="00967A47">
            <w:pPr>
              <w:pStyle w:val="NormalWeb"/>
              <w:jc w:val="both"/>
              <w:rPr>
                <w:sz w:val="20"/>
                <w:szCs w:val="20"/>
              </w:rPr>
            </w:pPr>
            <w:r>
              <w:rPr>
                <w:rFonts w:ascii="Verdana" w:hAnsi="Verdana"/>
                <w:i/>
                <w:sz w:val="20"/>
                <w:szCs w:val="20"/>
              </w:rPr>
              <w:t xml:space="preserve">(Así adicionado el párrafo anterior por el artículo 2° inciso a) de la ley N° 8630 del 17 de enero de 2008)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12"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t>Artículo 9º-</w:t>
            </w:r>
            <w:r>
              <w:rPr>
                <w:b/>
                <w:bCs/>
              </w:rPr>
              <w:t xml:space="preserve">Atención de las denuncias presentadas ante </w:t>
            </w:r>
            <w:r>
              <w:rPr>
                <w:b/>
                <w:bCs/>
                <w:color w:val="000000"/>
              </w:rPr>
              <w:t>la Contraloría General de la República</w:t>
            </w:r>
            <w:r>
              <w:rPr>
                <w:color w:val="000000"/>
              </w:rPr>
              <w:t>. La Contraloría General de la República determinará los procedimientos para la atención, la admisibilidad y el trámite de las denuncias que se le presenten y que sean atinentes al ámbito de su competencia, pero respetará el derecho de petición, en los términos señalados por la Constitución Política.</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13"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t>Artículo 10.-</w:t>
            </w:r>
            <w:r>
              <w:rPr>
                <w:b/>
                <w:bCs/>
              </w:rPr>
              <w:t xml:space="preserve">Limitaciones de acceso al expediente </w:t>
            </w:r>
            <w:r>
              <w:rPr>
                <w:b/>
                <w:bCs/>
                <w:color w:val="000000"/>
              </w:rPr>
              <w:t>administrativo</w:t>
            </w:r>
            <w:r>
              <w:rPr>
                <w:color w:val="000000"/>
              </w:rPr>
              <w:t>. Cuando estén en curso las investigaciones que lleve a cabo la Contraloría General de la República en el ejercicio de sus atribuciones, se guardará la reserva del caso, en tutela de los derechos fundamentales del presunto responsable o de terceros.</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A los expedientes solo tendrán acceso las partes y sus abogados defensores debidamente acreditados como tales, o autorizados por el interesado para estudiar el expediente administrativo antes de asumir su patrocinio.</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Las comparecencias a que se refiere la Ley General de la Administración Pública en los procedimientos administrativos que instruya la Administración Pública por infracciones al Régimen de Hacienda Pública, serán orales y públicas, pero el órgano director, en resolución fundada, podrá declararlas privadas por razones de decoro y por derecho a la intimidad de las partes o de terceros, cuando estime que se entorpece la recopilación de evidencia o peligra un secreto cuya revelación sea castigada penalmente.</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14"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11.-</w:t>
            </w:r>
            <w:r>
              <w:rPr>
                <w:b/>
                <w:bCs/>
                <w:color w:val="000000"/>
              </w:rPr>
              <w:t>Acceso a la información confidencial</w:t>
            </w:r>
            <w:r>
              <w:rPr>
                <w:color w:val="000000"/>
              </w:rPr>
              <w:t>. En cumplimiento de las atribuciones asignadas a la Contraloría General de la República, sus funcionarios tendrán la facultad de acceder a toda fuente de información, los registros, los documentos públicos, las declaraciones, los libros de contabilidad y sus anexos, las facturas y los contratos que los sujetos fiscalizados mantengan o posean.</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No obstante, de conformidad con el artículo 24 de la Constitución Política, los únicos documentos de carácter privado que la Contraloría General de la República podrá revisar sin la autorización previa del afectado o de sus representantes, serán los libros de contabilidad y sus anexos, con el único objeto de fiscalizar la correcta utilización de los fondos públicos.</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 xml:space="preserve">El afectado o sus representantes podrán autorizar, además, que la Contraloría General de la República revise otros documentos distintos de los enunciados en el párrafo anterior. Dicha autorización se entenderá otorgada si el afectado o sus representantes no se oponen al accionar de la Contraloría, luego de que los funcionarios de esa entidad les hayan comunicado la intención de revisar documentación y les hayan informado sobre la posibilidad de negarse a que se efectúe dicho trámite.  </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La confidencialidad que se conceda por ley especial a los documentos, las cuentas o las fuentes, conocidos por la Contraloría General de la República según el artículo 24 de la Constitución Política y el presente Artículo, no será oponible a sus funcionarios; no obstante, deberán mantenerla frente a terceros.</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Los documentos originales a los cuales pueda tener acceso la Contraloría General de la República según este artículo y el artículo 24 de la Constitución Política, se mantendrán en poder de la persona física o jurídica que los posea, cuando esto sea preciso para no entorpecer un servicio público o para no afectar derechos fundamentales de terceros; por tal razón, los funcionarios de la Contraloría tendrán fe pública para certificar la copia respectiva y llevarla consigo.</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15"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12.-</w:t>
            </w:r>
            <w:r>
              <w:rPr>
                <w:b/>
                <w:bCs/>
                <w:color w:val="000000"/>
              </w:rPr>
              <w:t>Cooperación internacional</w:t>
            </w:r>
            <w:r>
              <w:rPr>
                <w:color w:val="000000"/>
              </w:rPr>
              <w:t xml:space="preserve">. </w:t>
            </w:r>
            <w:proofErr w:type="spellStart"/>
            <w:r>
              <w:rPr>
                <w:color w:val="000000"/>
              </w:rPr>
              <w:t>Facúltase</w:t>
            </w:r>
            <w:proofErr w:type="spellEnd"/>
            <w:r>
              <w:rPr>
                <w:color w:val="000000"/>
              </w:rPr>
              <w:t xml:space="preserve"> a la Contraloría General de la República para que preste su colaboración y asesoramiento al Poder Ejecutivo en la celebración de los convenios internacionales que corresponda, a fin de que los organismos de fiscalización de la Hacienda Pública puedan recabar prueba y efectuar investigaciones fuera del territorio nacional, permitan realizar estudios o auditorías conjuntas y faciliten la cooperación técnica y el intercambio de experiencias.</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En el ámbito de su competencia, la Contraloría General de la República podrá solicitar asistencia y cooperación internacional para obtener evidencia y realizar los actos necesarios en las investigaciones que lleve a cabo, por medio de la Autoridad Central referida en el artículo XVIII de la Convención Interamericana contra la Corrupción, ratificada por la Ley Nº 7670, de 17 de abril de 1997.</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16"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13.-</w:t>
            </w:r>
            <w:r>
              <w:rPr>
                <w:b/>
                <w:bCs/>
                <w:color w:val="000000"/>
              </w:rPr>
              <w:t>Territorialidad</w:t>
            </w:r>
            <w:r>
              <w:rPr>
                <w:color w:val="000000"/>
              </w:rPr>
              <w:t>. Las disposiciones de la presente Ley serán aplicables respecto de actos de corrupción cometidos fuera del territorio nacional o que produzcan sus efectos fuera de él, mientras se trate de un estado parte de la Convención Interamericana contra la Corrupción.</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La Contraloría General de la República tendrá plenas facultades de fiscalización sobre los funcionarios y las oficinas del servicio exterior costarricense y de los sujetos pasivos que establezcan oficinas fuera del territorio nacional.</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 </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17"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center"/>
            </w:pPr>
            <w:r>
              <w:rPr>
                <w:b/>
                <w:bCs/>
                <w:color w:val="000000"/>
              </w:rPr>
              <w:t>CAPÍTULO II</w:t>
            </w:r>
          </w:p>
          <w:p w:rsidR="00967A47" w:rsidRDefault="00967A47" w:rsidP="00967A47">
            <w:pPr>
              <w:spacing w:after="240"/>
              <w:rPr>
                <w:rFonts w:ascii="Times New Roman" w:eastAsia="Times New Roman" w:hAnsi="Times New Roman"/>
                <w:sz w:val="20"/>
                <w:szCs w:val="20"/>
              </w:rPr>
            </w:pPr>
          </w:p>
          <w:p w:rsidR="00967A47" w:rsidRDefault="00967A47" w:rsidP="00967A47">
            <w:pPr>
              <w:jc w:val="center"/>
            </w:pPr>
            <w:r>
              <w:rPr>
                <w:b/>
                <w:bCs/>
                <w:color w:val="000000"/>
              </w:rPr>
              <w:t>Régimen preventivo</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b/>
                <w:bCs/>
                <w:color w:val="000000"/>
              </w:rPr>
              <w:t> </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Artículo 14.-</w:t>
            </w:r>
            <w:r>
              <w:rPr>
                <w:b/>
                <w:bCs/>
                <w:color w:val="000000"/>
              </w:rPr>
              <w:t>Prohibición para ejercer profesiones liberales</w:t>
            </w:r>
            <w:r>
              <w:rPr>
                <w:color w:val="000000"/>
              </w:rPr>
              <w:t xml:space="preserve">.  No podrán ejercer profesiones liberales, el presidente de la República, los vicepresidentes, los magistrados del Poder Judicial y del Tribunal Supremo de Elecciones, los ministros, el contralor y el </w:t>
            </w:r>
            <w:proofErr w:type="spellStart"/>
            <w:r>
              <w:rPr>
                <w:color w:val="000000"/>
              </w:rPr>
              <w:t>subcontralor</w:t>
            </w:r>
            <w:proofErr w:type="spellEnd"/>
            <w:r>
              <w:rPr>
                <w:color w:val="000000"/>
              </w:rPr>
              <w:t xml:space="preserve"> generales de la República, el defensor y el defensor adjunto de los habitantes, el procurador general y el procurador general adjunto de la República, el regulador general de la República, el fiscal general de la República, los viceministros, los oficiales mayores, los presidentes ejecutivos, los gerentes y los directores administrativos de entidades descentralizadas, instituciones autónomas, semiautónomas y empresas públicas, los superintendentes de entidades financieras, de valores y de pensiones, sus respectivos intendentes, así como los alcaldes municipales y los subgerentes y los subdirectores administrativos, los contralores y los </w:t>
            </w:r>
            <w:proofErr w:type="spellStart"/>
            <w:r>
              <w:rPr>
                <w:color w:val="000000"/>
              </w:rPr>
              <w:t>subcontralores</w:t>
            </w:r>
            <w:proofErr w:type="spellEnd"/>
            <w:r>
              <w:rPr>
                <w:color w:val="000000"/>
              </w:rPr>
              <w:t xml:space="preserve"> internos, los auditores y los </w:t>
            </w:r>
            <w:proofErr w:type="spellStart"/>
            <w:r>
              <w:rPr>
                <w:color w:val="000000"/>
              </w:rPr>
              <w:t>subauditores</w:t>
            </w:r>
            <w:proofErr w:type="spellEnd"/>
            <w:r>
              <w:rPr>
                <w:color w:val="000000"/>
              </w:rPr>
              <w:t xml:space="preserve"> internos de la Administración Pública, así como los directores y subdirectores de departamento y los titulares de proveeduría del Sector Público. Dentro del presente Artículo quedan comprendidas las otras profesiones que el funcionario posea, aunque no constituyan requisito para ocupar el respectivo cargo público.</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De la prohibición anterior se exceptúan la docencia en centros de enseñanza superior fuera de la jornada ordinaria y la atención de los asuntos en los que sean parte el funcionario afectado, su cónyuge, compañero o compañera, o alguno de sus parientes por consanguinidad o afinidad hasta el tercer grado inclusive. En tales casos, no deberá afectarse el desempeño normal e imparcial del cargo; tampoco deberá producirse en asuntos que se atiendan en la misma entidad pública o Poder del Estado en que se labora.</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18"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15.-</w:t>
            </w:r>
            <w:r>
              <w:rPr>
                <w:b/>
                <w:bCs/>
                <w:color w:val="000000"/>
              </w:rPr>
              <w:t>Retribución económica por la prohibición de ejercer profesiones liberales</w:t>
            </w:r>
            <w:r>
              <w:rPr>
                <w:color w:val="000000"/>
              </w:rPr>
              <w:t>. Salvo que exista un régimen especial de remuneración para el funcionario público, la compensación económica por la aplicación del Artículo anterior será equivalente a un sesenta y cinco por ciento (65%) sobre el salario base fijado para la categoría del puesto respectivo.</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19"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16.-</w:t>
            </w:r>
            <w:r>
              <w:rPr>
                <w:b/>
                <w:bCs/>
                <w:color w:val="000000"/>
              </w:rPr>
              <w:t>Prohibición de percibir compensaciones salariales</w:t>
            </w:r>
            <w:r>
              <w:rPr>
                <w:color w:val="000000"/>
              </w:rPr>
              <w:t>.  Los servidores públicos solo podrán percibir las retribuciones o los beneficios contemplados en el Régimen de Derecho Público propio de su relación de servicio y debidamente presupuestados. En consecuencia, se les prohíbe percibir cualquier otro emolumento, honorario, estipendio o salario por parte de personas físicas o jurídicas, nacionales o extranjeras, en razón del cumplimiento de sus funciones o con ocasión de estas, en el país o fuera de él.</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20"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spacing w:before="100" w:beforeAutospacing="1" w:after="100" w:afterAutospacing="1"/>
              <w:ind w:firstLine="708"/>
              <w:jc w:val="both"/>
            </w:pPr>
            <w:r>
              <w:t>Artículo 17.-</w:t>
            </w:r>
            <w:r>
              <w:rPr>
                <w:b/>
                <w:bCs/>
              </w:rPr>
              <w:t xml:space="preserve"> Desempeño simultáneo de cargos públicos</w:t>
            </w:r>
            <w:r>
              <w:t xml:space="preserve">. Ninguna persona podrá desempeñar, simultáneamente, en los órganos y las entidades de la Administración Pública, más de un cargo remunerado </w:t>
            </w:r>
            <w:r>
              <w:rPr>
                <w:rStyle w:val="spelle"/>
              </w:rPr>
              <w:t>salarialmente</w:t>
            </w:r>
            <w:r>
              <w:t>. De esta disposición quedan a salvo los docentes de instituciones de educación superior, los músicos de la Orquesta Sinfónica Nacional y los de las bandas que pertenezcan a la Administración Pública, así como quienes presten los servicios que requieran la Comisión Nacional de Prevención de Riesgos y Atención de Emergencias para atender emergencias nacionales así declaradas por el Poder Ejecutivo, el Tribunal Supremo de Elecciones, durante los seis meses anteriores a la fecha de las elecciones nacionales y hasta tres meses después de verificadas, así como otras instituciones públicas, en casos similares, previa autorización de la Contraloría General de la República.</w:t>
            </w:r>
          </w:p>
          <w:p w:rsidR="00967A47" w:rsidRDefault="00967A47" w:rsidP="00967A47">
            <w:pPr>
              <w:spacing w:after="240"/>
              <w:rPr>
                <w:rFonts w:ascii="Times New Roman" w:eastAsia="Times New Roman" w:hAnsi="Times New Roman"/>
                <w:sz w:val="20"/>
                <w:szCs w:val="20"/>
              </w:rPr>
            </w:pPr>
          </w:p>
          <w:p w:rsidR="00967A47" w:rsidRDefault="00967A47" w:rsidP="00967A47">
            <w:pPr>
              <w:spacing w:before="100" w:beforeAutospacing="1" w:after="100" w:afterAutospacing="1"/>
              <w:jc w:val="both"/>
            </w:pPr>
            <w:r>
              <w:t xml:space="preserve">     </w:t>
            </w:r>
            <w:r>
              <w:rPr>
                <w:lang w:val="es-ES_tradnl"/>
              </w:rPr>
              <w:t xml:space="preserve">Para que los funcionarios públicos realicen trabajos extraordinarios que no puedan calificarse como horas extras se requerirá la autorización del jerarca respectivo. La falta de autorización impedirá el pago o la remuneración. </w:t>
            </w:r>
          </w:p>
          <w:p w:rsidR="00967A47" w:rsidRDefault="00967A47" w:rsidP="00967A47">
            <w:pPr>
              <w:spacing w:after="240"/>
              <w:rPr>
                <w:rFonts w:ascii="Times New Roman" w:eastAsia="Times New Roman" w:hAnsi="Times New Roman"/>
                <w:sz w:val="20"/>
                <w:szCs w:val="20"/>
              </w:rPr>
            </w:pPr>
          </w:p>
          <w:p w:rsidR="00967A47" w:rsidRDefault="00967A47" w:rsidP="00967A47">
            <w:pPr>
              <w:spacing w:before="100" w:beforeAutospacing="1" w:after="100" w:afterAutospacing="1"/>
              <w:jc w:val="both"/>
            </w:pPr>
            <w:r>
              <w:rPr>
                <w:i/>
                <w:iCs/>
              </w:rPr>
              <w:t>(Así reformado el párrafo anterior por el artículo 44° de la ley N° 8823 del 5 de mayo de 2010)</w:t>
            </w:r>
          </w:p>
          <w:p w:rsidR="00967A47" w:rsidRDefault="00967A47" w:rsidP="00967A47">
            <w:pPr>
              <w:spacing w:after="240"/>
              <w:rPr>
                <w:rFonts w:ascii="Times New Roman" w:eastAsia="Times New Roman" w:hAnsi="Times New Roman"/>
                <w:sz w:val="20"/>
                <w:szCs w:val="20"/>
              </w:rPr>
            </w:pPr>
          </w:p>
          <w:p w:rsidR="00967A47" w:rsidRDefault="00967A47" w:rsidP="00967A47">
            <w:pPr>
              <w:spacing w:before="100" w:beforeAutospacing="1" w:after="100" w:afterAutospacing="1"/>
              <w:jc w:val="both"/>
            </w:pPr>
            <w:r>
              <w:t>     Igualmente, ningún funcionario público, durante el disfrute de un permiso sin goce de salario, podrá desempeñarse como asesor ni como consultor de órganos, instituciones o entidades, nacionales o extranjeras, que se vinculan directamente, por relación jerárquica, por desconcentración o por convenio aprobado al efecto, con el órgano o la entidad para el cual ejerce su cargo.</w:t>
            </w:r>
          </w:p>
          <w:p w:rsidR="00967A47" w:rsidRDefault="00967A47" w:rsidP="00967A47">
            <w:pPr>
              <w:spacing w:after="240"/>
              <w:rPr>
                <w:rFonts w:ascii="Times New Roman" w:eastAsia="Times New Roman" w:hAnsi="Times New Roman"/>
                <w:sz w:val="20"/>
                <w:szCs w:val="20"/>
              </w:rPr>
            </w:pPr>
          </w:p>
          <w:p w:rsidR="00967A47" w:rsidRDefault="00967A47" w:rsidP="00967A47">
            <w:pPr>
              <w:pStyle w:val="NormalWeb"/>
              <w:jc w:val="both"/>
              <w:rPr>
                <w:sz w:val="20"/>
                <w:szCs w:val="20"/>
              </w:rPr>
            </w:pPr>
            <w:r>
              <w:rPr>
                <w:rFonts w:ascii="Verdana" w:hAnsi="Verdana"/>
                <w:sz w:val="20"/>
                <w:szCs w:val="20"/>
                <w:lang w:val="es-MX"/>
              </w:rPr>
              <w:t>    Asimismo, quienes desempeñen un cargo dentro de la función pública, no podrán devengar dieta alguna como miembros de juntas directivas o de otros órganos colegiados pertenecientes a órganos, entes y empresas de la Administración Pública, salvo si no existe superposición horaria entre la jornada laboral y las sesiones de tales órganos</w:t>
            </w:r>
            <w:r>
              <w:rPr>
                <w:rFonts w:ascii="Verdana" w:hAnsi="Verdana"/>
                <w:sz w:val="20"/>
                <w:szCs w:val="20"/>
              </w:rPr>
              <w:t>.</w:t>
            </w:r>
          </w:p>
          <w:p w:rsidR="00967A47" w:rsidRDefault="00967A47" w:rsidP="00967A47">
            <w:pPr>
              <w:spacing w:after="240"/>
              <w:rPr>
                <w:rFonts w:ascii="Times New Roman" w:eastAsia="Times New Roman" w:hAnsi="Times New Roman"/>
                <w:sz w:val="20"/>
                <w:szCs w:val="20"/>
              </w:rPr>
            </w:pPr>
          </w:p>
          <w:p w:rsidR="00967A47" w:rsidRDefault="00967A47" w:rsidP="00967A47">
            <w:pPr>
              <w:pStyle w:val="NormalWeb"/>
              <w:jc w:val="both"/>
              <w:rPr>
                <w:sz w:val="20"/>
                <w:szCs w:val="20"/>
              </w:rPr>
            </w:pPr>
            <w:r>
              <w:rPr>
                <w:rFonts w:ascii="Verdana" w:hAnsi="Verdana"/>
                <w:i/>
                <w:iCs/>
                <w:sz w:val="20"/>
                <w:szCs w:val="20"/>
              </w:rPr>
              <w:t xml:space="preserve">(Así reformado el párrafo anterior  por el inciso a) del artículo 1° de la ley </w:t>
            </w:r>
            <w:r>
              <w:rPr>
                <w:rStyle w:val="spelle"/>
                <w:rFonts w:ascii="Verdana" w:hAnsi="Verdana"/>
                <w:i/>
                <w:iCs/>
                <w:sz w:val="20"/>
                <w:szCs w:val="20"/>
              </w:rPr>
              <w:t>N°</w:t>
            </w:r>
            <w:r>
              <w:rPr>
                <w:rFonts w:ascii="Verdana" w:hAnsi="Verdana"/>
                <w:i/>
                <w:iCs/>
                <w:sz w:val="20"/>
                <w:szCs w:val="20"/>
              </w:rPr>
              <w:t xml:space="preserve"> 8445 del 10 de mayo del 2005)</w:t>
            </w:r>
          </w:p>
          <w:p w:rsidR="00967A47" w:rsidRDefault="00967A47" w:rsidP="00967A47">
            <w:pPr>
              <w:spacing w:after="240"/>
              <w:rPr>
                <w:rFonts w:ascii="Times New Roman" w:eastAsia="Times New Roman" w:hAnsi="Times New Roman"/>
                <w:sz w:val="20"/>
                <w:szCs w:val="20"/>
              </w:rPr>
            </w:pPr>
          </w:p>
          <w:p w:rsidR="00967A47" w:rsidRDefault="00967A47" w:rsidP="00967A47">
            <w:pPr>
              <w:pStyle w:val="NormalWeb"/>
              <w:jc w:val="both"/>
              <w:rPr>
                <w:sz w:val="20"/>
                <w:szCs w:val="20"/>
              </w:rPr>
            </w:pPr>
            <w:r>
              <w:rPr>
                <w:rFonts w:ascii="Verdana" w:hAnsi="Verdana"/>
                <w:sz w:val="20"/>
                <w:szCs w:val="20"/>
                <w:lang w:val="es-MX"/>
              </w:rPr>
              <w:t xml:space="preserve">    Quienes, sin ser funcionarios públicos integren, simultáneamente, hasta tres juntas directivas u otros órganos colegiados adscritos a órganos, entes y empresas de la Administración Pública, podrán recibir las dietas correspondientes a cada cargo, siempre y cuando no exista superposición horaria. Cuando, por razones de interés público, se requiera que la persona integre más de tres juntas directivas u otros órganos colegiados adscritos a órganos, entes y empresas de la Administración Pública, deberá recabarse la autorización de la Contraloría General de la República. </w:t>
            </w:r>
          </w:p>
          <w:p w:rsidR="00967A47" w:rsidRDefault="00967A47" w:rsidP="00967A47">
            <w:pPr>
              <w:spacing w:after="240"/>
              <w:rPr>
                <w:rFonts w:ascii="Times New Roman" w:eastAsia="Times New Roman" w:hAnsi="Times New Roman"/>
                <w:sz w:val="20"/>
                <w:szCs w:val="20"/>
              </w:rPr>
            </w:pPr>
          </w:p>
          <w:p w:rsidR="00967A47" w:rsidRDefault="00967A47" w:rsidP="00967A47">
            <w:pPr>
              <w:pStyle w:val="NormalWeb"/>
              <w:jc w:val="both"/>
              <w:rPr>
                <w:sz w:val="20"/>
                <w:szCs w:val="20"/>
              </w:rPr>
            </w:pPr>
            <w:r>
              <w:rPr>
                <w:rFonts w:ascii="Verdana" w:hAnsi="Verdana"/>
                <w:i/>
                <w:iCs/>
                <w:sz w:val="20"/>
                <w:szCs w:val="20"/>
                <w:lang w:val="es-MX"/>
              </w:rPr>
              <w:t xml:space="preserve">(Así adicionado el párrafo anterior  por el inciso b) del artículo 1° de la ley </w:t>
            </w:r>
            <w:r>
              <w:rPr>
                <w:rStyle w:val="spelle"/>
                <w:rFonts w:ascii="Verdana" w:hAnsi="Verdana"/>
                <w:i/>
                <w:iCs/>
                <w:sz w:val="20"/>
                <w:szCs w:val="20"/>
                <w:lang w:val="es-MX"/>
              </w:rPr>
              <w:t>N°</w:t>
            </w:r>
            <w:r>
              <w:rPr>
                <w:rFonts w:ascii="Verdana" w:hAnsi="Verdana"/>
                <w:i/>
                <w:iCs/>
                <w:sz w:val="20"/>
                <w:szCs w:val="20"/>
                <w:lang w:val="es-MX"/>
              </w:rPr>
              <w:t xml:space="preserve"> 8445 del 10 de mayo del 2005)</w:t>
            </w:r>
          </w:p>
          <w:p w:rsidR="00967A47" w:rsidRDefault="00967A47" w:rsidP="00967A47">
            <w:pPr>
              <w:spacing w:after="240"/>
              <w:rPr>
                <w:rFonts w:ascii="Times New Roman" w:eastAsia="Times New Roman" w:hAnsi="Times New Roman"/>
                <w:sz w:val="20"/>
                <w:szCs w:val="20"/>
              </w:rPr>
            </w:pPr>
          </w:p>
          <w:p w:rsidR="00967A47" w:rsidRDefault="00967A47" w:rsidP="00967A47">
            <w:pPr>
              <w:pStyle w:val="NormalWeb"/>
              <w:jc w:val="both"/>
              <w:rPr>
                <w:sz w:val="20"/>
                <w:szCs w:val="20"/>
              </w:rPr>
            </w:pPr>
            <w:r>
              <w:rPr>
                <w:rFonts w:ascii="Verdana" w:hAnsi="Verdana"/>
                <w:sz w:val="20"/>
                <w:szCs w:val="20"/>
                <w:lang w:val="es-MX"/>
              </w:rPr>
              <w:t xml:space="preserve">    Los regidores y las regidoras municipales, propietarios y suplentes; los síndicos y las </w:t>
            </w:r>
            <w:r>
              <w:rPr>
                <w:rStyle w:val="spelle"/>
                <w:rFonts w:ascii="Verdana" w:hAnsi="Verdana"/>
                <w:sz w:val="20"/>
                <w:szCs w:val="20"/>
                <w:lang w:val="es-MX"/>
              </w:rPr>
              <w:t>síndicas</w:t>
            </w:r>
            <w:r>
              <w:rPr>
                <w:rFonts w:ascii="Verdana" w:hAnsi="Verdana"/>
                <w:sz w:val="20"/>
                <w:szCs w:val="20"/>
                <w:lang w:val="es-MX"/>
              </w:rPr>
              <w:t>, propietarios y suplentes; las personas miembros de los concejos de distrito; las personas miembros de los concejos municipales de distrito, propietarias y suplentes, no se regirán por las disposiciones anteriores.</w:t>
            </w:r>
          </w:p>
          <w:p w:rsidR="00967A47" w:rsidRDefault="00967A47" w:rsidP="00967A47">
            <w:pPr>
              <w:spacing w:after="240"/>
              <w:rPr>
                <w:rFonts w:ascii="Times New Roman" w:eastAsia="Times New Roman" w:hAnsi="Times New Roman"/>
                <w:sz w:val="20"/>
                <w:szCs w:val="20"/>
              </w:rPr>
            </w:pPr>
          </w:p>
          <w:p w:rsidR="00967A47" w:rsidRDefault="00967A47" w:rsidP="00967A47">
            <w:pPr>
              <w:pStyle w:val="NormalWeb"/>
              <w:jc w:val="both"/>
              <w:rPr>
                <w:sz w:val="20"/>
                <w:szCs w:val="20"/>
              </w:rPr>
            </w:pPr>
            <w:r>
              <w:rPr>
                <w:rFonts w:ascii="Verdana" w:hAnsi="Verdana"/>
                <w:i/>
                <w:iCs/>
                <w:sz w:val="20"/>
                <w:szCs w:val="20"/>
                <w:lang w:val="es-MX"/>
              </w:rPr>
              <w:t xml:space="preserve">(Así adicionado el párrafo anterior  por el inciso b) del artículo 1° de la ley </w:t>
            </w:r>
            <w:r>
              <w:rPr>
                <w:rStyle w:val="spelle"/>
                <w:rFonts w:ascii="Verdana" w:hAnsi="Verdana"/>
                <w:i/>
                <w:iCs/>
                <w:sz w:val="20"/>
                <w:szCs w:val="20"/>
                <w:lang w:val="es-MX"/>
              </w:rPr>
              <w:t>N°</w:t>
            </w:r>
            <w:r>
              <w:rPr>
                <w:rFonts w:ascii="Verdana" w:hAnsi="Verdana"/>
                <w:i/>
                <w:iCs/>
                <w:sz w:val="20"/>
                <w:szCs w:val="20"/>
                <w:lang w:val="es-MX"/>
              </w:rPr>
              <w:t xml:space="preserve"> 8445 del 10 de mayo del 2005)</w:t>
            </w:r>
          </w:p>
          <w:p w:rsidR="00967A47" w:rsidRDefault="00967A47" w:rsidP="00967A47">
            <w:pPr>
              <w:spacing w:after="240"/>
              <w:rPr>
                <w:rFonts w:ascii="Times New Roman" w:eastAsia="Times New Roman" w:hAnsi="Times New Roman"/>
                <w:sz w:val="20"/>
                <w:szCs w:val="20"/>
              </w:rPr>
            </w:pPr>
          </w:p>
          <w:p w:rsidR="00967A47" w:rsidRDefault="00967A47" w:rsidP="00967A47">
            <w:pPr>
              <w:spacing w:before="100" w:beforeAutospacing="1" w:after="100" w:afterAutospacing="1"/>
              <w:jc w:val="both"/>
            </w:pPr>
            <w:r>
              <w:rPr>
                <w:i/>
              </w:rPr>
              <w:t xml:space="preserve">(La Sala Constitucional mediante resolución </w:t>
            </w:r>
            <w:r>
              <w:rPr>
                <w:rStyle w:val="spelle"/>
                <w:i/>
                <w:iCs/>
              </w:rPr>
              <w:t>N°</w:t>
            </w:r>
            <w:r>
              <w:rPr>
                <w:i/>
              </w:rPr>
              <w:t xml:space="preserve"> 13431-08 del 02 de </w:t>
            </w:r>
            <w:r>
              <w:rPr>
                <w:rStyle w:val="spelle"/>
                <w:i/>
                <w:iCs/>
              </w:rPr>
              <w:t>setiembre</w:t>
            </w:r>
            <w:r>
              <w:rPr>
                <w:i/>
              </w:rPr>
              <w:t xml:space="preserve"> del 2008, interpretó de este artículo el término "simultáneamente", en el sentido de que este implica una superposición horaria o una jornada superior al tiempo completo de trabajo, en el desempeño de dos cargos públicos)</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21"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spacing w:before="100" w:beforeAutospacing="1" w:after="100" w:afterAutospacing="1"/>
              <w:ind w:firstLine="720"/>
              <w:jc w:val="both"/>
            </w:pPr>
            <w:r>
              <w:t>Artículo 18.-</w:t>
            </w:r>
            <w:r>
              <w:rPr>
                <w:b/>
                <w:bCs/>
              </w:rPr>
              <w:t>Incompatibilidades</w:t>
            </w:r>
            <w:r>
              <w:t xml:space="preserve">. El Presidente de la República, los vicepresidentes, diputados, magistrados propietarios del Poder Judicial y del Tribunal Supremo de Elecciones, los ministros, el contralor y el </w:t>
            </w:r>
            <w:proofErr w:type="spellStart"/>
            <w:r>
              <w:rPr>
                <w:rStyle w:val="spelle"/>
              </w:rPr>
              <w:t>subcontralor</w:t>
            </w:r>
            <w:proofErr w:type="spellEnd"/>
            <w:r>
              <w:t xml:space="preserve"> generales de la República, el defensor y el defensor adjunto de los habitantes, el procurador general y el procurador general adjunto de la República, el regulador general de la República, los viceministros, los oficiales mayores, los miembros de junta directiva, los presidentes ejecutivos, los gerentes y subgerentes, los directores y subdirectores ejecutivos, los jefes de proveeduría, los auditores y </w:t>
            </w:r>
            <w:proofErr w:type="spellStart"/>
            <w:r>
              <w:rPr>
                <w:rStyle w:val="spelle"/>
              </w:rPr>
              <w:t>subauditores</w:t>
            </w:r>
            <w:proofErr w:type="spellEnd"/>
            <w:r>
              <w:t xml:space="preserve"> internos de la Administración Pública y de las empresas públicas, así como los alcaldes municipales, no podrán ocupar simultáneamente cargos en juntas directivas; tampoco podrán figurar registralmente como representantes o apoderados de empresas privadas, ni tampoco participar en su capital accionario, personalmente o por medio de otra persona jurídica, cuando tales empresas presten servicios a instituciones o a empresas públicas que, por la naturaleza de su actividad comercial, compitan con ella.  </w:t>
            </w:r>
          </w:p>
          <w:p w:rsidR="00967A47" w:rsidRDefault="00967A47" w:rsidP="00967A47">
            <w:pPr>
              <w:spacing w:after="240"/>
              <w:rPr>
                <w:rFonts w:ascii="Times New Roman" w:eastAsia="Times New Roman" w:hAnsi="Times New Roman"/>
                <w:sz w:val="20"/>
                <w:szCs w:val="20"/>
              </w:rPr>
            </w:pPr>
          </w:p>
          <w:p w:rsidR="00967A47" w:rsidRDefault="00967A47" w:rsidP="00967A47">
            <w:pPr>
              <w:spacing w:before="100" w:beforeAutospacing="1" w:after="100" w:afterAutospacing="1"/>
              <w:ind w:firstLine="720"/>
              <w:jc w:val="both"/>
            </w:pPr>
            <w:r>
              <w:t>La prohibición de ocupar cargos directivos y gerenciales o de poseer la representación legal también regirá en relación con cualquier entidad privada, con fines de lucro o sin ellos, que reciba recursos económicos del Estado.</w:t>
            </w:r>
          </w:p>
          <w:p w:rsidR="00967A47" w:rsidRDefault="00967A47" w:rsidP="00967A47">
            <w:pPr>
              <w:spacing w:after="240"/>
              <w:rPr>
                <w:rFonts w:ascii="Times New Roman" w:eastAsia="Times New Roman" w:hAnsi="Times New Roman"/>
                <w:sz w:val="20"/>
                <w:szCs w:val="20"/>
              </w:rPr>
            </w:pPr>
          </w:p>
          <w:p w:rsidR="00967A47" w:rsidRDefault="00967A47" w:rsidP="00967A47">
            <w:pPr>
              <w:spacing w:before="100" w:beforeAutospacing="1" w:after="100" w:afterAutospacing="1"/>
              <w:ind w:firstLine="720"/>
              <w:jc w:val="both"/>
            </w:pPr>
            <w:r>
              <w:t>Los funcionarios indicados contarán con un plazo de treinta días(</w:t>
            </w:r>
            <w:r>
              <w:rPr>
                <w:i/>
              </w:rPr>
              <w:t>*)</w:t>
            </w:r>
            <w:r>
              <w:t xml:space="preserve"> hábiles para acreditar, ante la Contraloría General de la República, su renuncia al cargo respectivo y la debida inscripción registral de su separación; dicho plazo podrá ser prorrogado una sola vez por el órgano contralor, hasta por otro período igual.</w:t>
            </w:r>
          </w:p>
          <w:p w:rsidR="00967A47" w:rsidRDefault="00967A47" w:rsidP="00967A47">
            <w:pPr>
              <w:spacing w:after="240"/>
              <w:rPr>
                <w:rFonts w:ascii="Times New Roman" w:eastAsia="Times New Roman" w:hAnsi="Times New Roman"/>
                <w:sz w:val="20"/>
                <w:szCs w:val="20"/>
              </w:rPr>
            </w:pPr>
          </w:p>
          <w:p w:rsidR="00967A47" w:rsidRDefault="00967A47" w:rsidP="00967A47">
            <w:pPr>
              <w:pStyle w:val="NormalWeb"/>
              <w:jc w:val="both"/>
              <w:rPr>
                <w:sz w:val="20"/>
                <w:szCs w:val="20"/>
              </w:rPr>
            </w:pPr>
            <w:r>
              <w:rPr>
                <w:rStyle w:val="nfasis"/>
                <w:rFonts w:ascii="Verdana" w:hAnsi="Verdana"/>
                <w:sz w:val="20"/>
                <w:szCs w:val="20"/>
                <w:lang w:val="es-MX"/>
              </w:rPr>
              <w:t>(</w:t>
            </w:r>
            <w:r>
              <w:rPr>
                <w:rStyle w:val="nfasis"/>
                <w:rFonts w:ascii="Verdana" w:hAnsi="Verdana"/>
                <w:sz w:val="20"/>
                <w:szCs w:val="20"/>
              </w:rPr>
              <w:t>*) (Este plazo fue ampliado por Resolución de la Contraloría General de la República de las 15:00 horas del 10 de diciembre del 2004, en los siguientes términos:</w:t>
            </w:r>
            <w:r>
              <w:rPr>
                <w:rFonts w:ascii="Verdana" w:hAnsi="Verdana"/>
                <w:sz w:val="20"/>
                <w:szCs w:val="20"/>
              </w:rPr>
              <w:t xml:space="preserve"> </w:t>
            </w:r>
          </w:p>
          <w:p w:rsidR="00967A47" w:rsidRDefault="00967A47" w:rsidP="00967A47">
            <w:pPr>
              <w:spacing w:after="240"/>
              <w:rPr>
                <w:rFonts w:ascii="Times New Roman" w:eastAsia="Times New Roman" w:hAnsi="Times New Roman"/>
                <w:sz w:val="20"/>
                <w:szCs w:val="20"/>
              </w:rPr>
            </w:pPr>
          </w:p>
          <w:p w:rsidR="00967A47" w:rsidRDefault="00967A47" w:rsidP="00967A47">
            <w:pPr>
              <w:pStyle w:val="NormalWeb"/>
              <w:jc w:val="both"/>
              <w:rPr>
                <w:sz w:val="20"/>
                <w:szCs w:val="20"/>
              </w:rPr>
            </w:pPr>
            <w:r>
              <w:rPr>
                <w:rStyle w:val="nfasis"/>
                <w:rFonts w:ascii="Verdana" w:hAnsi="Verdana"/>
                <w:sz w:val="20"/>
                <w:szCs w:val="20"/>
              </w:rPr>
              <w:t xml:space="preserve">"RESUELVE: </w:t>
            </w:r>
          </w:p>
          <w:p w:rsidR="00967A47" w:rsidRDefault="00967A47" w:rsidP="00967A47">
            <w:pPr>
              <w:spacing w:after="240"/>
              <w:rPr>
                <w:rFonts w:ascii="Times New Roman" w:eastAsia="Times New Roman" w:hAnsi="Times New Roman"/>
                <w:sz w:val="20"/>
                <w:szCs w:val="20"/>
              </w:rPr>
            </w:pPr>
          </w:p>
          <w:p w:rsidR="00967A47" w:rsidRDefault="00967A47" w:rsidP="00967A47">
            <w:pPr>
              <w:pStyle w:val="NormalWeb"/>
              <w:jc w:val="both"/>
              <w:rPr>
                <w:sz w:val="20"/>
                <w:szCs w:val="20"/>
              </w:rPr>
            </w:pPr>
            <w:r>
              <w:rPr>
                <w:rStyle w:val="nfasis"/>
                <w:rFonts w:ascii="Verdana" w:hAnsi="Verdana"/>
                <w:sz w:val="20"/>
                <w:szCs w:val="20"/>
              </w:rPr>
              <w:t xml:space="preserve">     I.-Prorrogar el plazo de treinta días hábiles a que se refiere el artículo 18 de la Ley Nº 8422 "Ley contra la corrupción y el enriquecimiento ilícito en la función pública", </w:t>
            </w:r>
            <w:r>
              <w:rPr>
                <w:rStyle w:val="nfasis"/>
                <w:rFonts w:ascii="Verdana" w:hAnsi="Verdana"/>
                <w:b/>
                <w:bCs/>
                <w:sz w:val="20"/>
                <w:szCs w:val="20"/>
              </w:rPr>
              <w:t>por un período igual</w:t>
            </w:r>
            <w:r>
              <w:rPr>
                <w:rStyle w:val="nfasis"/>
                <w:rFonts w:ascii="Verdana" w:hAnsi="Verdana"/>
                <w:sz w:val="20"/>
                <w:szCs w:val="20"/>
              </w:rPr>
              <w:t>, para que los funcionarios cubiertos por dicho numeral, acrediten ante esta Contraloría General, su renuncia al cargo respectivo y la debida inscripción registral de su separación, o en su defecto certificación o declaración jurada de que se ha presentado ante el Registro respectivo la gestión de inscripción, así como darle seguimiento para su inscripción definitiva. Esto último no relevará a dichos funcionarios de la obligación de acreditar de forma inmediata la inscripción respectiva en cuanto la misma se haga efectiva, así como de cumplir con los trámites y requerimientos necesarios a fin de obtener dicha inscripción.)</w:t>
            </w:r>
            <w:r>
              <w:rPr>
                <w:rFonts w:ascii="Verdana" w:hAnsi="Verdana"/>
                <w:sz w:val="20"/>
                <w:szCs w:val="20"/>
              </w:rPr>
              <w:t xml:space="preserve">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22"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19.-</w:t>
            </w:r>
            <w:r>
              <w:rPr>
                <w:b/>
                <w:bCs/>
                <w:color w:val="000000"/>
              </w:rPr>
              <w:t>Levantamiento de la incompatibilidad</w:t>
            </w:r>
            <w:r>
              <w:rPr>
                <w:color w:val="000000"/>
              </w:rPr>
              <w:t>. Únicamente ante gestión presentada por el interesado, la Contraloría General de la República, mediante resolución fundada y en situaciones calificadas, podrá levantar la incompatibilidad que se establece en el artículo precedente, cuando pueda estimarse que, por el carácter de los bienes que integran el patrimonio de la empresa en la cual el funcionario es directivo, apoderado o representante, por sus fines o por el giro particular, y por la ausencia de actividad, no existe conflicto de intereses, sin perjuicio de que dicho levantamiento pueda ser revocado por incumplimiento o modificación de las condiciones en que fue concedido.</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23"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20.-</w:t>
            </w:r>
            <w:r>
              <w:rPr>
                <w:b/>
                <w:bCs/>
                <w:color w:val="000000"/>
              </w:rPr>
              <w:t>Régimen de donaciones y obsequios</w:t>
            </w:r>
            <w:r>
              <w:rPr>
                <w:color w:val="000000"/>
              </w:rPr>
              <w:t>. Los obsequios recibidos por un funcionario público como gesto de cortesía o costumbre diplomática, serán considerados bienes propiedad de la Nación, cuando su valor sea superior a un salario base, según la definición del artículo 2º de la Ley Nº 7337, de acuerdo con la valoración prudencial que de ellos realice la Dirección General de Tributación, si se estima necesaria. El destino, registro y uso de estos bienes serán los que determine el Reglamento de esta Ley; al efecto podrá establecerse que estos bienes o el producto de su venta, sean trasladados a organizaciones de beneficencia pública, de salud o de educación, o al patrimonio histórico-cultural, según corresponda.  De la aplicación de esta norma se exceptúan las condecoraciones y los premios de carácter honorífico, cultural, académico o científico.</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24"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center"/>
            </w:pPr>
            <w:r>
              <w:rPr>
                <w:b/>
                <w:bCs/>
                <w:color w:val="000000"/>
              </w:rPr>
              <w:t>CAPÍTULO III</w:t>
            </w:r>
          </w:p>
          <w:p w:rsidR="00967A47" w:rsidRDefault="00967A47" w:rsidP="00967A47">
            <w:pPr>
              <w:spacing w:after="240"/>
              <w:rPr>
                <w:rFonts w:ascii="Times New Roman" w:eastAsia="Times New Roman" w:hAnsi="Times New Roman"/>
                <w:sz w:val="20"/>
                <w:szCs w:val="20"/>
              </w:rPr>
            </w:pPr>
          </w:p>
          <w:p w:rsidR="00967A47" w:rsidRDefault="00967A47" w:rsidP="00967A47">
            <w:pPr>
              <w:jc w:val="center"/>
            </w:pPr>
            <w:r>
              <w:rPr>
                <w:b/>
                <w:bCs/>
                <w:color w:val="000000"/>
              </w:rPr>
              <w:t>Declaración jurada sobre la situación patrimonial</w:t>
            </w:r>
          </w:p>
          <w:p w:rsidR="00967A47" w:rsidRDefault="00967A47" w:rsidP="00967A47">
            <w:pPr>
              <w:spacing w:after="240"/>
              <w:rPr>
                <w:rFonts w:ascii="Times New Roman" w:eastAsia="Times New Roman" w:hAnsi="Times New Roman"/>
                <w:sz w:val="20"/>
                <w:szCs w:val="20"/>
              </w:rPr>
            </w:pPr>
          </w:p>
          <w:p w:rsidR="00967A47" w:rsidRDefault="00967A47" w:rsidP="00967A47">
            <w:r>
              <w:rPr>
                <w:color w:val="000000"/>
              </w:rPr>
              <w:t>Artículo 21.-</w:t>
            </w:r>
            <w:r>
              <w:rPr>
                <w:b/>
                <w:bCs/>
              </w:rPr>
              <w:t xml:space="preserve">Funcionarios obligados a declarar su situación patrimonial </w:t>
            </w:r>
          </w:p>
          <w:p w:rsidR="00967A47" w:rsidRDefault="00967A47" w:rsidP="00967A47">
            <w:pPr>
              <w:spacing w:after="240"/>
              <w:rPr>
                <w:rFonts w:ascii="Times New Roman" w:eastAsia="Times New Roman" w:hAnsi="Times New Roman"/>
                <w:sz w:val="20"/>
                <w:szCs w:val="20"/>
              </w:rPr>
            </w:pPr>
          </w:p>
          <w:p w:rsidR="00967A47" w:rsidRDefault="00967A47" w:rsidP="00967A47">
            <w:pPr>
              <w:pStyle w:val="default"/>
              <w:ind w:firstLine="708"/>
              <w:rPr>
                <w:sz w:val="20"/>
                <w:szCs w:val="20"/>
              </w:rPr>
            </w:pPr>
            <w:r>
              <w:rPr>
                <w:sz w:val="20"/>
                <w:szCs w:val="20"/>
              </w:rPr>
              <w:t xml:space="preserve">Deberán declarar la situación patrimonial, ante la Contraloría General de la República, según lo señalan la presente ley y su reglamento, los diputados a la Asamblea Legislativa, el presidente y los vicepresidentes de la República; los ministros, con cartera o sin ella, o los funcionarios nombrados con ese rango y los viceministros; los magistrados propietarios y suplentes del Poder Judicial y del Tribunal Supremo de Elecciones; los jueces y las juezas de la República, tanto interinos como en propiedad; el contralor y el </w:t>
            </w:r>
            <w:proofErr w:type="spellStart"/>
            <w:r>
              <w:rPr>
                <w:sz w:val="20"/>
                <w:szCs w:val="20"/>
              </w:rPr>
              <w:t>subcontralor</w:t>
            </w:r>
            <w:proofErr w:type="spellEnd"/>
            <w:r>
              <w:rPr>
                <w:sz w:val="20"/>
                <w:szCs w:val="20"/>
              </w:rPr>
              <w:t xml:space="preserve"> generales de la República; el defensor y el defensor adjunto de los habitantes; el procurador general y el procurador general adjunto de la República; el fiscal general de la República; los fiscales adjuntos, los fiscales y los fiscales auxiliares del Ministerio Público; los rectores, los contralores o los </w:t>
            </w:r>
            <w:proofErr w:type="spellStart"/>
            <w:r>
              <w:rPr>
                <w:sz w:val="20"/>
                <w:szCs w:val="20"/>
              </w:rPr>
              <w:t>subcontralores</w:t>
            </w:r>
            <w:proofErr w:type="spellEnd"/>
            <w:r>
              <w:rPr>
                <w:sz w:val="20"/>
                <w:szCs w:val="20"/>
              </w:rPr>
              <w:t xml:space="preserve"> de los centros estatales de enseñanza superior; el regulador general de la República; los superintendentes de entidades financieras, de valores y de pensiones, así como los respectivos intendentes; los oficiales mayores de los ministerios; los miembros de las juntas directivas, excepto los fiscales sin derecho a voto; los presidentes ejecutivos, los gerentes, los subgerentes, los auditores o los </w:t>
            </w:r>
            <w:proofErr w:type="spellStart"/>
            <w:r>
              <w:rPr>
                <w:sz w:val="20"/>
                <w:szCs w:val="20"/>
              </w:rPr>
              <w:t>subauditores</w:t>
            </w:r>
            <w:proofErr w:type="spellEnd"/>
            <w:r>
              <w:rPr>
                <w:sz w:val="20"/>
                <w:szCs w:val="20"/>
              </w:rPr>
              <w:t xml:space="preserve"> internos, y los titulares de las proveedurías de toda la Administración Pública y de las empresas públicas, así como los regidores, los propietarios y los suplentes, y los alcaldes municipales. </w:t>
            </w:r>
          </w:p>
          <w:p w:rsidR="00967A47" w:rsidRDefault="00967A47" w:rsidP="00967A47">
            <w:pPr>
              <w:spacing w:after="240"/>
              <w:rPr>
                <w:rFonts w:ascii="Times New Roman" w:eastAsia="Times New Roman" w:hAnsi="Times New Roman"/>
                <w:sz w:val="20"/>
                <w:szCs w:val="20"/>
              </w:rPr>
            </w:pPr>
          </w:p>
          <w:p w:rsidR="00967A47" w:rsidRDefault="00967A47" w:rsidP="00967A47">
            <w:pPr>
              <w:pStyle w:val="default"/>
              <w:ind w:firstLine="708"/>
              <w:rPr>
                <w:sz w:val="20"/>
                <w:szCs w:val="20"/>
              </w:rPr>
            </w:pPr>
            <w:r>
              <w:rPr>
                <w:sz w:val="20"/>
                <w:szCs w:val="20"/>
              </w:rPr>
              <w:t xml:space="preserve">También, declararán su situación patrimonial los empleados de las aduanas, los empleados que tramiten licitaciones públicas, los demás funcionarios públicos que custodien, administren, fiscalicen o recauden fondos públicos, establezcan rentas o ingresos en favor del Estado; los que aprueben y autoricen erogaciones con fondos públicos, según la enumeración contenida en el reglamento de esta ley, que podrá incluir también a empleados de sujetos de derecho privado que administren, custodien o sean concesionarios de fondos, bienes y servicios públicos, quienes, en lo conducente, estarán sometidos a las disposiciones de la presente ley y su reglamento. </w:t>
            </w:r>
          </w:p>
          <w:p w:rsidR="00967A47" w:rsidRDefault="00967A47" w:rsidP="00967A47">
            <w:pPr>
              <w:spacing w:after="240"/>
              <w:rPr>
                <w:rFonts w:ascii="Times New Roman" w:eastAsia="Times New Roman" w:hAnsi="Times New Roman"/>
                <w:sz w:val="20"/>
                <w:szCs w:val="20"/>
              </w:rPr>
            </w:pPr>
          </w:p>
          <w:p w:rsidR="00967A47" w:rsidRDefault="00967A47" w:rsidP="00967A47">
            <w:pPr>
              <w:pStyle w:val="default"/>
              <w:ind w:firstLine="708"/>
              <w:rPr>
                <w:sz w:val="20"/>
                <w:szCs w:val="20"/>
              </w:rPr>
            </w:pPr>
            <w:r>
              <w:rPr>
                <w:sz w:val="20"/>
                <w:szCs w:val="20"/>
              </w:rPr>
              <w:t xml:space="preserve">El contralor y el </w:t>
            </w:r>
            <w:proofErr w:type="spellStart"/>
            <w:r>
              <w:rPr>
                <w:sz w:val="20"/>
                <w:szCs w:val="20"/>
              </w:rPr>
              <w:t>subcontralor</w:t>
            </w:r>
            <w:proofErr w:type="spellEnd"/>
            <w:r>
              <w:rPr>
                <w:sz w:val="20"/>
                <w:szCs w:val="20"/>
              </w:rPr>
              <w:t xml:space="preserve"> generales de la República enviarán copia fiel de sus declaraciones a la Asamblea Legislativa, la cual, respecto de estos funcionarios, gozará de las mismas facultades que esta ley asigna a la Contraloría General de la República en relación con los demás servidores públicos.</w:t>
            </w:r>
          </w:p>
          <w:p w:rsidR="00967A47" w:rsidRDefault="00967A47" w:rsidP="00967A47">
            <w:pPr>
              <w:spacing w:after="240"/>
              <w:rPr>
                <w:rFonts w:ascii="Times New Roman" w:eastAsia="Times New Roman" w:hAnsi="Times New Roman"/>
                <w:sz w:val="20"/>
                <w:szCs w:val="20"/>
              </w:rPr>
            </w:pPr>
          </w:p>
          <w:p w:rsidR="00967A47" w:rsidRDefault="00967A47" w:rsidP="00967A47">
            <w:pPr>
              <w:pStyle w:val="NormalWeb"/>
              <w:rPr>
                <w:sz w:val="20"/>
                <w:szCs w:val="20"/>
              </w:rPr>
            </w:pPr>
            <w:r>
              <w:rPr>
                <w:rFonts w:ascii="Verdana!important" w:hAnsi="Verdana!important"/>
                <w:i/>
                <w:iCs/>
                <w:sz w:val="20"/>
                <w:szCs w:val="20"/>
              </w:rPr>
              <w:t>(Así reformado por el artículo único de la ley N° 9093 del 19 de octubre de 2012)</w:t>
            </w:r>
            <w:r>
              <w:rPr>
                <w:sz w:val="20"/>
                <w:szCs w:val="20"/>
              </w:rPr>
              <w:t xml:space="preserve"> </w:t>
            </w: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25"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22.-</w:t>
            </w:r>
            <w:r>
              <w:rPr>
                <w:b/>
                <w:bCs/>
                <w:color w:val="000000"/>
              </w:rPr>
              <w:t>Presentación de las declaraciones inicial, anual y final</w:t>
            </w:r>
            <w:r>
              <w:rPr>
                <w:color w:val="000000"/>
              </w:rPr>
              <w:t>. La declaración inicial deberá presentarse dentro de los treinta días hábiles siguientes a la fecha de nombramiento o la de declaración oficial de la elección por parte del Tribunal Supremo de Elecciones, cuando se trate de cargos de elección popular. Para efectos de actualización, también deberá presentarse cada año, dentro de los primeros quince días hábiles de mayo, una declaración en la cual se hagan constar los cambios y las variaciones en relación con la situación patrimonial declarada. Por último, dentro del plazo de los treinta días hábiles inmediatos al cese de funciones, los funcionarios públicos deberán presentar una declaración jurada final, en la cual se reflejen los cambios y las variaciones en la situación patrimonial; lo anterior según las disposiciones reglamentarias que se dicten al efecto de conformidad con esta Ley. Las declaraciones serán formuladas bajo fe de juramento.</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26"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23.-</w:t>
            </w:r>
            <w:r>
              <w:rPr>
                <w:b/>
                <w:bCs/>
                <w:color w:val="000000"/>
              </w:rPr>
              <w:t>Declaración jurada por orden singular</w:t>
            </w:r>
            <w:r>
              <w:rPr>
                <w:color w:val="000000"/>
              </w:rPr>
              <w:t>. El hecho de que un servidor público no esté obligado a presentar declaración jurada sobre su situación patrimonial, no impedirá realizar las averiguaciones y los estudios pertinentes para determinar un eventual enriquecimiento ilícito o cualquier otra infracción a la presente Ley. Para tal efecto, la Contraloría General de la República o el Ministerio Público, por medio del fiscal general, en cualquier momento podrá exigir, por orden singular, a todo funcionario público que administre o custodie fondos públicos, que presente declaración jurada de su situación patrimonial. En tal caso, a partir de ese momento el funcionario rendirá sus declaraciones inicial, anual y final, bajo los mismos plazos, términos y sanciones previstos en esta Ley y su Reglamento, pero el término para presentar la primera declaración correrá a partir del día siguiente a la fecha de recibo de la orden. El Ministerio Público enviará a la Contraloría General de la República copia fiel de las declaraciones que reciba.</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27"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24.-</w:t>
            </w:r>
            <w:r>
              <w:rPr>
                <w:b/>
                <w:bCs/>
                <w:color w:val="000000"/>
              </w:rPr>
              <w:t>Confidencialidad de las declaraciones</w:t>
            </w:r>
            <w:r>
              <w:rPr>
                <w:color w:val="000000"/>
              </w:rPr>
              <w:t>. El contenido de las declaraciones juradas es confidencial, salvo para el propio declarante, sin perjuicio del acceso a ellas que requieran las comisiones especiales de investigación de la Asamblea Legislativa, la Contraloría General de la República, el Ministerio Público o los tribunales de la República, para investigar y determinar la comisión de posibles infracciones y delitos previstos en la Ley. La confidencialidad no restringe el derecho de los ciudadanos de saber si la declaración fue presentada o no conforme a la ley.</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28"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25.-</w:t>
            </w:r>
            <w:r>
              <w:rPr>
                <w:b/>
                <w:bCs/>
                <w:color w:val="000000"/>
              </w:rPr>
              <w:t>Registro de declaraciones juradas</w:t>
            </w:r>
            <w:r>
              <w:rPr>
                <w:color w:val="000000"/>
              </w:rPr>
              <w:t xml:space="preserve">. La Contraloría General de la República establecerá un registro de declaraciones juradas que proveerá a los interesados los formularios respectivos, para que efectúen su declaración; además, tendrá las funciones de recibir y custodiar las declaraciones de cada servidor público.  </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Pasados cuatro años desde la fecha en que el servidor público haya cesado en el cargo que dio origen al deber de declarar su situación patrimonial, las declaraciones presentadas y su documentación anexa serán remitidas al Archivo Nacional y se conservarán las mismas condiciones de confidencialidad.</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29"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26.-</w:t>
            </w:r>
            <w:r>
              <w:rPr>
                <w:b/>
                <w:bCs/>
                <w:color w:val="000000"/>
              </w:rPr>
              <w:t>Condiciones de los sujetos obligados a presentar declaración jurada de bienes</w:t>
            </w:r>
            <w:r>
              <w:rPr>
                <w:color w:val="000000"/>
              </w:rPr>
              <w:t xml:space="preserve">. Se encuentran obligados a declarar su situación patrimonial, los funcionarios públicos nombrados en propiedad, que ocupen los puestos o realicen las funciones correspondientes a los cargos que se detallan en esta Ley y su Reglamento.  </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Asimismo, quedan comprendidos los funcionarios con nombramientos interinos a plazo fijo o con recargo o asignación de funciones mediante resolución expresa, cuando el plazo sea mayor o igual a seis meses.</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30"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27.-</w:t>
            </w:r>
            <w:r>
              <w:rPr>
                <w:b/>
                <w:bCs/>
                <w:color w:val="000000"/>
              </w:rPr>
              <w:t>Modificación de la descripción del puesto o de la nomenclatura administrativa</w:t>
            </w:r>
            <w:r>
              <w:rPr>
                <w:color w:val="000000"/>
              </w:rPr>
              <w:t>. Los funcionarios obligados a declarar su situación patrimonial tendrán ese deber aun cuando, en virtud de una reorganización administrativa o de otro motivo similar, se modifique el nombre o título de la clase de puesto que ocupan, siempre y cuando sus atribuciones y responsabilidades continúen siendo equiparables a las del cargo que originaba tal obligación.</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31"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28.-</w:t>
            </w:r>
            <w:r>
              <w:rPr>
                <w:b/>
                <w:bCs/>
                <w:color w:val="000000"/>
              </w:rPr>
              <w:t>Deber de informar sobre funcionarios sujetos a la declaración jurada</w:t>
            </w:r>
            <w:r>
              <w:rPr>
                <w:color w:val="000000"/>
              </w:rPr>
              <w:t>. El director, el jefe o el encargado de la unidad de recursos humanos o de la oficina de personal de cada órgano o entidad pública, dentro de los ocho días hábiles siguientes a la designación o a la declaración de elección oficial del Tribunal Supremo de Elecciones, deberá informar a la Contraloría General de la República, sobre el nombre, las calidades y el domicilio exacto de los servidores que ocupan cargos que exijan presentar la declaración de la situación patrimonial, con la indicación de la fecha en que iniciaron sus funciones; también deberá informar por escrito al funcionario sobre su deber de cumplir con esa declaración.</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Dentro de igual plazo, deberá informar la fecha en que, por cualquier circunstancia, los servidores obligados a declarar concluyan su relación de servicio, o bien, sobre cualquier otra circunstancia que afecte el cumplimiento de la obligación de declarar la situación patrimonial.  Para todos los efectos legales, la desobediencia de esta obligación será considerada falta grave, sancionable de acuerdo con el régimen interno correspondiente.</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El error o defecto en la información que la unidad de recursos humanos suministre en aplicación de este artículo, por sí solo no constituirá razón suficiente para extinguir o atenuar las responsabilidades del declarante determinadas en esta Ley.</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La presente disposición será aplicable, en lo conducente, a los sujetos de derecho privado.</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32"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29</w:t>
            </w:r>
            <w:r>
              <w:rPr>
                <w:rStyle w:val="grame"/>
                <w:color w:val="000000"/>
              </w:rPr>
              <w:t>.-</w:t>
            </w:r>
            <w:r>
              <w:rPr>
                <w:b/>
                <w:bCs/>
                <w:color w:val="000000"/>
              </w:rPr>
              <w:t>Contenido de la declaración</w:t>
            </w:r>
            <w:r>
              <w:rPr>
                <w:color w:val="000000"/>
              </w:rPr>
              <w:t>. Además de lo dispuesto en el Reglamento de esta Ley, el servidor público deberá incluir en su declaración, en forma clara, precisa y detallada, los bienes, las rentas, los derechos y las obligaciones que constituyen su patrimonio, tanto dentro del territorio nacional como en el extranjero; también consignará una valoración estimada en colones.</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1. De los bienes inmuebles deberá indicarse:</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a) El derecho real que se ejerce sobre el bien (propiedad, posesión, arrendamiento, usufructo, nuda propiedad u otro) y la causa de adquisición (venta, legado, donación u otra); deberá indicarse el nombre de la persona, física o jurídica, de quien se adquirió.</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b) Las citas de inscripción en el respectivo Registro.</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c) El área, la naturaleza, los linderos y la ubicación exacta del inmueble. Si hay construcción o mejoras, deberá indicarse su naturaleza, el área constructiva, con descripción de sus acabados, y la antigüedad.</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d) La actividad a que se dedica cada finca.</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e) El valor estimado del inmueble, incluso el costo de la construcción, cuando corresponda.</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f) En las declaraciones finales, los bienes inmuebles que ya no formen parte del patrimonio del declarante y que aparezcan en su declaración jurada anterior, así como el nombre del nuevo propietario.</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2. De los bienes muebles deberá indicarse al menos lo siguiente:</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a) El derecho real que se ostenta sobre el bien, la causa de adquisición, gratuita u onerosa, y la identidad del propietario anterior.</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b) La descripción precisa del bien, la marca de fábrica, el modelo, el número de placa de circulación, cuando corresponda, o en su defecto, el número de serie, así como una estimación del valor actual.</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c) En caso de semovientes, la cantidad, el género, la raza y el valor total estimado.</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d) Respecto del menaje de casa, su valor total estimado. No se incluyen las obras de arte, colecciones de cualquier índole, joyas, antigüedades, armas ni los bienes utilizados para el ejercicio de la profesión, arte u oficio del servidor; todos estos bienes deberán ser identificados en forma separada del menaje de casa y deberá indicarse su valor estimado.</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i/>
                <w:color w:val="000000"/>
              </w:rPr>
              <w:t xml:space="preserve">(Así reformado el aparte d) del inciso 2° de este artículo, mediante resolución de la Sala Constitucional </w:t>
            </w:r>
            <w:r>
              <w:rPr>
                <w:rStyle w:val="spelle"/>
                <w:i/>
                <w:color w:val="000000"/>
              </w:rPr>
              <w:t>N°</w:t>
            </w:r>
            <w:r>
              <w:rPr>
                <w:i/>
                <w:color w:val="000000"/>
              </w:rPr>
              <w:t xml:space="preserve"> 7689-08 del 7 de mayo del 2008.)</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e) De la participación en sociedades o empresas con fines de lucro, el nombre completo de la entidad, la cédula jurídica, el cargo o puesto que el funcionario ocupa en ellas, el domicilio, el número de acciones propiedad del declarante, el tipo de estas y su valor nominal, así como los aportes en efectivo y en especie efectuados por el declarante; asimismo, las sumas recibidas por dividendos en los últimos tres años, si los hay, y los dividendos de la empresa por su participación societaria en otras organizaciones, nacionales o extranjeras.</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f) De los bonos, la clase, el número, la serie y la entidad que los emitió, el valor nominal en la moneda correspondiente, el número y monto de los cupones a la fecha de adquisición, la tasa de interés que devengan, la fecha de adquisición y la fecha de vencimiento.</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 xml:space="preserve">g) De los certificados de depósito en colones o en moneda extranjera, el número de certificado, la entidad que los emitió, el valor en colones o moneda extranjera, la tasa de interés, el plazo y la fecha de adquisición, así como el número y monto de los </w:t>
            </w:r>
            <w:r>
              <w:rPr>
                <w:rStyle w:val="grame"/>
                <w:color w:val="000000"/>
              </w:rPr>
              <w:t>cupones</w:t>
            </w:r>
            <w:r>
              <w:rPr>
                <w:color w:val="000000"/>
              </w:rPr>
              <w:t xml:space="preserve"> a la fecha de adquisición.</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h) De los fondos complementarios de pensión o similares y de las cuentas bancarias corrientes y de ahorros, en colones o en moneda extranjera, el número de la cuenta, el nombre de la institución bancaria o empresa, y el saldo o monto ahorrado a la fecha de la declaración.</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i) De los salarios y otras rentas, el tipo de renta (alquileres, dietas, dividendos, intereses, pensiones, salarios, honorarios, comisiones u otros), la institución, empresa, cooperativa, fundación o persona que los pagó, sea nacional o extranjera; el monto devengado por cada renta y el período que cubre cada una; además, el monto total remunerado en dinero, incluso los gastos de representación fijos no sujetos a liquidación, así como lo remunerado en especie, con indicación de su contenido.  De los ingresos citados se indicarán su estimación anual y el desglose respectivo, de acuerdo con su naturaleza.</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j) De los activos intangibles, su tipo, origen y su valor estimado.</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3. De los pasivos deberán indicarse todas las obligaciones pecuniarias del funcionario en las que este figure como deudor o fiador; se señalará también el número de operación, el monto original, la persona o entidad acreedora, el plazo, la cuota del último mes, el origen del pasivo y el saldo a la fecha de la declaración.</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4. Otros intereses patrimoniales: El declarante también deberá indicar los intereses patrimoniales propios no comprendidos en las disposiciones anteriores.</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 </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rsidRPr="00967A47">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33"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30.-</w:t>
            </w:r>
            <w:r>
              <w:rPr>
                <w:b/>
                <w:bCs/>
                <w:color w:val="000000"/>
              </w:rPr>
              <w:t>Autorización para acceso a información</w:t>
            </w:r>
            <w:r>
              <w:rPr>
                <w:color w:val="000000"/>
              </w:rPr>
              <w:t>. La declaración contendrá una autorización en favor de la Contraloría General de la República para requerir información pertinente a las empresas y organizaciones financieras o bancarias, nacionales o extranjeras, con las que posean vínculos o intereses económicos o participación accionaria relevantes para los fines de la presente Ley.</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34"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31.-</w:t>
            </w:r>
            <w:r>
              <w:rPr>
                <w:b/>
                <w:bCs/>
                <w:color w:val="000000"/>
              </w:rPr>
              <w:t>Ámbito temporal de la declaración jurada</w:t>
            </w:r>
            <w:r>
              <w:rPr>
                <w:color w:val="000000"/>
              </w:rPr>
              <w:t>. La declaración inicial comprenderá los cambios patrimoniales ocurridos hasta un año antes de la fecha del nombramiento o de la elección declarada oficialmente por el Tribunal Supremo de Elecciones. En especial, durante ese lapso, el declarante deberá indicar los bienes que han dejado de pertenecerle, el nombre del adquirente, el título por el cual se traspasó y la cuantía de la operación, así como las obligaciones adquiridas o extinguidas por pago o por cualquier otro motivo, el cual también deberá identificarse.</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35"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32.-</w:t>
            </w:r>
            <w:r>
              <w:rPr>
                <w:b/>
                <w:bCs/>
                <w:color w:val="000000"/>
              </w:rPr>
              <w:t>Simulación</w:t>
            </w:r>
            <w:r>
              <w:rPr>
                <w:color w:val="000000"/>
              </w:rPr>
              <w:t xml:space="preserve">. Podrá concluirse que existe simulación, si no hay concordancia entre los bienes declarados ante la Contraloría General de la República y los que se estén usufructuando de hecho.  </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Para que la simulación se configure, será necesario que el usufructo sea sobre bienes de terceros, que por ello no aparezcan en la declaración del funcionario, que este no pueda exhibir ningún título sobre ellos, y que el usufructo sea público y notorio, parcial o total, permanente o discontinuo.</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Se entiende que existe usufructo de hecho sobre los bienes muebles e inmuebles que conforman el patrimonio familiar y los pertenecientes a cualquiera de sus parientes por consanguinidad o afinidad, incluso hasta el segundo grado, o a cualquier persona jurídica, siempre que exista la indicada forma indicada de usufructo.</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Todos los bienes de los cuales se goce un usufructo de hecho, por cualquier motivo, deberán ser declarados.</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36"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33.-</w:t>
            </w:r>
            <w:r>
              <w:rPr>
                <w:b/>
                <w:bCs/>
                <w:color w:val="000000"/>
              </w:rPr>
              <w:t>Recibo</w:t>
            </w:r>
            <w:r>
              <w:rPr>
                <w:color w:val="000000"/>
              </w:rPr>
              <w:t>. El interesado recibirá constancia de la presentación de sus declaraciones, sin perjuicio de que la Contraloría General de la República pueda exigirle las aclaraciones pertinentes o información adicional, o de las responsabilidades que se deriven por presentación tardía en forma injustificada.</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37"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34.-</w:t>
            </w:r>
            <w:r>
              <w:rPr>
                <w:b/>
                <w:bCs/>
                <w:color w:val="000000"/>
              </w:rPr>
              <w:t>Constatación de veracidad de la declaración</w:t>
            </w:r>
            <w:r>
              <w:rPr>
                <w:color w:val="000000"/>
              </w:rPr>
              <w:t>. Cuando lo estime oportuno, la Contraloría General de la República podrá examinar y verificar, con todo detalle, la exactitud y veracidad de las declaraciones, de conformidad con los procedimientos y las facultades que le otorgan la Constitución Política y las leyes. Asimismo, podrá requerir, por escrito, al declarante las aclaraciones o adiciones que estime necesarias, dentro del plazo que prudencialmente se le fije.</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38"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35.-</w:t>
            </w:r>
            <w:r>
              <w:rPr>
                <w:b/>
                <w:bCs/>
                <w:color w:val="000000"/>
              </w:rPr>
              <w:t>Facultad de investigación aun ante existencia de responsabilidades</w:t>
            </w:r>
            <w:r>
              <w:rPr>
                <w:color w:val="000000"/>
              </w:rPr>
              <w:t>. La imposición de sanciones administrativas no le impedirá a la Contraloría General de la República realizar las investigaciones que estime procedentes de acuerdo con esta Ley, en relación con la situación patrimonial de quien ha omitido su declaración jurada o la ha presentado en forma extemporánea; tampoco enervará la posibilidad de establecer las otras responsabilidades del caso derivadas de esa investigación.</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39"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36.-</w:t>
            </w:r>
            <w:r>
              <w:rPr>
                <w:b/>
                <w:bCs/>
                <w:color w:val="000000"/>
              </w:rPr>
              <w:t>Acceso a cargos públicos</w:t>
            </w:r>
            <w:r>
              <w:rPr>
                <w:color w:val="000000"/>
              </w:rPr>
              <w:t>. Para ejercer un cargo público que origine el deber de declarar la situación patrimonial, será requisito que no exista ninguna declaración jurada pendiente de ser presentada a la Contraloría General de la República. De esta disposición se exceptúan los cargos de elección popular. La infracción a lo dispuesto en esta norma acarreará la nulidad relativa del nombramiento.</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40"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center"/>
            </w:pPr>
            <w:r>
              <w:rPr>
                <w:b/>
                <w:bCs/>
                <w:color w:val="000000"/>
              </w:rPr>
              <w:t>CAPITULO  IV</w:t>
            </w:r>
          </w:p>
          <w:p w:rsidR="00967A47" w:rsidRDefault="00967A47" w:rsidP="00967A47">
            <w:pPr>
              <w:spacing w:after="240"/>
              <w:rPr>
                <w:rFonts w:ascii="Times New Roman" w:eastAsia="Times New Roman" w:hAnsi="Times New Roman"/>
                <w:sz w:val="20"/>
                <w:szCs w:val="20"/>
              </w:rPr>
            </w:pPr>
          </w:p>
          <w:p w:rsidR="00967A47" w:rsidRDefault="00967A47" w:rsidP="00967A47">
            <w:pPr>
              <w:jc w:val="center"/>
            </w:pPr>
            <w:r>
              <w:rPr>
                <w:b/>
                <w:bCs/>
                <w:color w:val="000000"/>
              </w:rPr>
              <w:t>Responsabilidad administrativa y civil</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 </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Artículo 37.-Las instituciones públicas estarán obligadas a facilitar a un profesional que apoye técnicamente al jerarca para que realice su declaración.</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41"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38.-</w:t>
            </w:r>
            <w:r>
              <w:rPr>
                <w:b/>
                <w:bCs/>
                <w:color w:val="000000"/>
              </w:rPr>
              <w:t>Causales de responsabilidad administrativa</w:t>
            </w:r>
            <w:r>
              <w:rPr>
                <w:color w:val="000000"/>
              </w:rPr>
              <w:t>. Sin perjuicio de otras causales previstas en el régimen aplicable a la respectiva relación de servicios, tendrá responsabilidad administrativa el funcionario público que:</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a) Incumpla el régimen de prohibiciones e incompatibilidades establecido en la presente Ley.</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b) Independientemente del régimen de prohibición o dedicación exclusiva a que esté sometido, ofrezca o desempeñe actividades que comprometan su imparcialidad, posibiliten un conflicto de intereses o favorezcan el interés privado en detrimento del interés público.  Sin que esta ejemplificación sea taxativa, se incluyen en el supuesto los siguientes casos: el estudio, la revisión, la emisión de criterio verbal o escrito, la preparación de borradores relacionados con trámites en reclamo o con ocasión de ellos, los recursos administrativos, las ofertas en procedimientos de contratación administrativa, la búsqueda o negociación de empleos que estén en conflicto con sus deberes, sin dar aviso al superior o sin separarse del conocimiento de asuntos en los que se encuentre interesado el posible empleador.</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c) Se favorezca él, su cónyuge, su compañera o compañero, o alguno de sus parientes, hasta el tercer grado de consanguinidad o afinidad, por personas físicas o jurídicas que sean potenciales oferentes, contratistas o usuarios de la entidad donde presta servicios, de acuerdo con lo dispuesto en el artículo 20 de esta misma Ley.</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d) Debilite el control interno de la organización u omita las actuaciones necesarias para su diseño, implantación o evaluación, de acuerdo con la normativa técnica aplicable.</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e) Infrinja lo dispuesto en el artículo 20 de esta Ley, en relación con el régimen de donaciones y obsequios.</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f) Con inexcusable negligencia, asesore o aconseje a la entidad donde presta sus servicios, a otra entidad u órgano públicos, o a los particulares que se relacionen con ella.</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g) Incurra en culpa grave en la vigilancia o la elección de funcionarios sometidos a sus potestades de dirección o jerarquía, en cuanto al ejercicio que estos hayan realizado de las facultades de administración de fondos públicos.</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h) Omita someter al conocimiento de la Contraloría General de la República los presupuestos que requieran la aprobación de esa entidad.</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i) Injustificadamente, no presente alguna de las declaraciones juradas a que se refiere esta Ley si, vencido el plazo para su entrega, es prevenido una única vez por la Contraloría General de la República para que en el plazo de quince días hábiles cumpla con su presentación.</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j) Incurra en falta de veracidad, omisión o simulación en sus declaraciones de situación patrimonial.</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k) Retarde o desobedezca, injustificadamente, el requerimiento para que aclare o amplíe su declaración de situación patrimonial o de intereses patrimoniales, dentro del plazo que le fije la Contraloría General de la República.</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l) Viole la confidencialidad de las declaraciones juradas de bienes.</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m) Perciba, por sí o por persona física o jurídica interpuesta, retribuciones, honorarios o beneficios patrimoniales de cualquier índole, provenientes de personas u organizaciones que no pertenezcan a la Administración Pública, por el cumplimiento de labores propias del cargo o con ocasión de estas, dentro del país o fuera de él.</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n) Incumpla la prohibición del artículo 17 de la presente Ley para ejercer cargos en forma simultánea en la Administración Pública.  ñ) Incurra en omisión o retardo, grave e injustificado, de entablar acciones judiciales dentro del plazo requerido por la Contraloría General de la República.</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 </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42"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39.-</w:t>
            </w:r>
            <w:r>
              <w:rPr>
                <w:b/>
                <w:bCs/>
                <w:color w:val="000000"/>
              </w:rPr>
              <w:t>Sanciones administrativas</w:t>
            </w:r>
            <w:r>
              <w:rPr>
                <w:color w:val="000000"/>
              </w:rPr>
              <w:t>. Según la gravedad, las faltas anteriormente señaladas serán sancionadas así:</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a) Amonestación escrita publicada en el Diario Oficial.</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b) Suspensión, sin goce de salario, dieta o estipendio correspondiente, de quince a treinta días.</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c) Separación del cargo público, sin responsabilidad patronal o cancelación de la credencial de regidor municipal, según corresponda.</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 </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43"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40.-</w:t>
            </w:r>
            <w:r>
              <w:rPr>
                <w:b/>
                <w:bCs/>
                <w:color w:val="000000"/>
              </w:rPr>
              <w:t>Competencia para declarar responsabilidades</w:t>
            </w:r>
            <w:r>
              <w:rPr>
                <w:color w:val="000000"/>
              </w:rPr>
              <w:t xml:space="preserve">.  Las sanciones previstas en esta Ley serán impuestas por el órgano que ostente la potestad disciplinaria en cada entidad pública, de acuerdo con las reglamentaciones aplicables. La Contraloría General de la República también será competente para tramitar el respectivo procedimiento administrativo y requerir a la entidad respectiva, en forma vinculante, la aplicación de la sanción que determine, cuando el caso verse sobre actuaciones regidas por el ordenamiento jurídico de la Hacienda Pública.  Queda a salvo lo dispuesto en el artículo 43 de esta Ley, en cuyo caso la Contraloría General de la República procederá conforme se indica.  </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 xml:space="preserve">Toda responsabilidad será declarada según los principios y procedimientos aplicables, con arreglo a los principios establecidos en la Ley General de la Administración Pública y se les asegurarán a las partes las garantías constitucionales relativas al debido proceso y la defensa previa, real y efectiva, sin perjuicio de las medidas cautelares necesarias.  </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En todo caso, la Contraloría General de la República deberá denunciar ante las autoridades judiciales competentes, los hechos que lleguen a su conocimiento y que puedan considerarse constitutivos de delitos.</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44"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41.-</w:t>
            </w:r>
            <w:r>
              <w:rPr>
                <w:b/>
                <w:bCs/>
                <w:color w:val="000000"/>
              </w:rPr>
              <w:t>Criterios por considerar</w:t>
            </w:r>
            <w:r>
              <w:rPr>
                <w:color w:val="000000"/>
              </w:rPr>
              <w:t>. Las sanciones estipuladas en la presente Ley serán impuestas por las infracciones anteriormente tipificadas que hayan sido cometidas con dolo o culpa grave. Para valorar la conducta del presunto responsable se tomarán en cuenta, entre otros, los siguientes factores:</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a) La efectiva lesión a los intereses económicos de la Administración Pública y la cuantía de los daños y perjuicios irrogados.</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b) El éxito obtenido en el logro de los resultados no deseados por el ordenamiento jurídico o en el enriquecimiento o favorecimiento del autor de la infracción o de terceros, así como el empeño puesto en procurarlos.</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c) El impacto negativo en el servicio público.</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d) La reincidencia en alguna de las faltas tipificadas en el Artículo 38 de esta Ley, dentro de los cuatro años anteriores.</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e) El rango y las funciones del servidor; se entiende que, a mayor jerarquía y complejidad de estas, mayor será la obligación de apreciar la legalidad, oportunidad y conveniencia de los actos que se dictan, autorizan o ejecutan.</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 </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45"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42.-</w:t>
            </w:r>
            <w:r>
              <w:rPr>
                <w:b/>
                <w:bCs/>
                <w:color w:val="000000"/>
              </w:rPr>
              <w:t>Sanciones para los funcionarios de la Contraloría General de la República</w:t>
            </w:r>
            <w:r>
              <w:rPr>
                <w:color w:val="000000"/>
              </w:rPr>
              <w:t>. Además de las sanciones establecidas en los reglamentos internos, los servidores de la Contraloría General de la República serán sancionados, disciplinariamente, con despido sin responsabilidad patronal, sin perjuicio de las sanciones penales correspondientes, cuando por dolo o culpa grave:</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a) Violen la confidencialidad o alteren el contenido de las declaraciones juradas de bienes.</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b) Divulguen información de los sujetos pasivos de la fiscalización de la Contraloría General de la República, cuya confidencialidad sea conferida por ley especial y a la cual tengan acceso en ejercicio de sus funciones, o se prevalezcan de dicha información o de su cargo para fines ajenos a sus deberes.</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 </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46"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43.-</w:t>
            </w:r>
            <w:r>
              <w:rPr>
                <w:b/>
                <w:bCs/>
                <w:color w:val="000000"/>
              </w:rPr>
              <w:t>Responsabilidad de los miembros de los Supremos Poderes</w:t>
            </w:r>
            <w:r>
              <w:rPr>
                <w:color w:val="000000"/>
              </w:rPr>
              <w:t xml:space="preserve">. En caso de que las infracciones previstas en esta Ley sean atribuidas a diputados, regidores, alcaldes municipales, magistrados del Poder Judicial y del Tribunal Supremo de Elecciones, ministros de Gobierno, el contralor y </w:t>
            </w:r>
            <w:proofErr w:type="spellStart"/>
            <w:r>
              <w:rPr>
                <w:color w:val="000000"/>
              </w:rPr>
              <w:t>subcontralor</w:t>
            </w:r>
            <w:proofErr w:type="spellEnd"/>
            <w:r>
              <w:rPr>
                <w:color w:val="000000"/>
              </w:rPr>
              <w:t xml:space="preserve"> generales de la República, defensor de los habitantes de la República y el defensor adjunto, el regulador general y el procurador general de la República, o a los directores de las instituciones autónomas, de ello se informará, según el caso, al Tribunal Supremo de Elecciones, a la Corte Suprema de Justicia, el Consejo de Gobierno, la Asamblea Legislativa o al presidente de la República, para que, conforme a derecho, se proceda a imponer las sanciones correspondientes.</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47"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44.-</w:t>
            </w:r>
            <w:r>
              <w:rPr>
                <w:b/>
                <w:bCs/>
                <w:color w:val="000000"/>
              </w:rPr>
              <w:t>Prescripción de la responsabilidad administrativa</w:t>
            </w:r>
            <w:r>
              <w:rPr>
                <w:color w:val="000000"/>
              </w:rPr>
              <w:t>.  La responsabilidad administrativa del funcionario público por las infracciones previstas en esta Ley, y en el ordenamiento relativo a la Hacienda Pública, prescribirá, según el artículo 43 de la Ley General de Control Interno y el artículo 71 de la Ley Orgánica de la Contraloría General de la República, Nº 7428, de 7 de setiembre de 1994.</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48"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pStyle w:val="NormalWeb"/>
              <w:jc w:val="both"/>
              <w:rPr>
                <w:sz w:val="20"/>
                <w:szCs w:val="20"/>
              </w:rPr>
            </w:pPr>
            <w:r>
              <w:rPr>
                <w:b/>
                <w:bCs/>
                <w:spacing w:val="2"/>
                <w:sz w:val="20"/>
                <w:szCs w:val="20"/>
                <w:lang w:val="es-ES_tradnl"/>
              </w:rPr>
              <w:t xml:space="preserve">    Artículo 44 bis.- Sanciones administrativas a </w:t>
            </w:r>
            <w:r>
              <w:rPr>
                <w:b/>
                <w:bCs/>
                <w:spacing w:val="3"/>
                <w:sz w:val="20"/>
                <w:szCs w:val="20"/>
                <w:lang w:val="es-ES_tradnl"/>
              </w:rPr>
              <w:t xml:space="preserve">personas jurídicas </w:t>
            </w:r>
          </w:p>
          <w:p w:rsidR="00967A47" w:rsidRDefault="00967A47" w:rsidP="00967A47">
            <w:pPr>
              <w:spacing w:after="240"/>
              <w:rPr>
                <w:rFonts w:ascii="Times New Roman" w:eastAsia="Times New Roman" w:hAnsi="Times New Roman"/>
                <w:sz w:val="20"/>
                <w:szCs w:val="20"/>
              </w:rPr>
            </w:pPr>
          </w:p>
          <w:p w:rsidR="00967A47" w:rsidRDefault="00967A47" w:rsidP="00967A47">
            <w:pPr>
              <w:pStyle w:val="NormalWeb"/>
              <w:jc w:val="both"/>
              <w:rPr>
                <w:sz w:val="20"/>
                <w:szCs w:val="20"/>
              </w:rPr>
            </w:pPr>
            <w:r>
              <w:rPr>
                <w:sz w:val="20"/>
                <w:szCs w:val="20"/>
              </w:rPr>
              <w:t xml:space="preserve">   </w:t>
            </w:r>
            <w:r>
              <w:rPr>
                <w:spacing w:val="3"/>
                <w:sz w:val="20"/>
                <w:szCs w:val="20"/>
                <w:lang w:val="es-ES_tradnl"/>
              </w:rPr>
              <w:t>En los casos previstos en el inciso m) del artículo 38</w:t>
            </w:r>
            <w:r>
              <w:rPr>
                <w:sz w:val="20"/>
                <w:szCs w:val="20"/>
                <w:lang w:val="es-ES_tradnl"/>
              </w:rPr>
              <w:t xml:space="preserve"> </w:t>
            </w:r>
            <w:r>
              <w:rPr>
                <w:spacing w:val="4"/>
                <w:sz w:val="20"/>
                <w:szCs w:val="20"/>
                <w:lang w:val="es-ES_tradnl"/>
              </w:rPr>
              <w:t>y el artículo 55 de esta Ley, y en los artículos del 340</w:t>
            </w:r>
            <w:r>
              <w:rPr>
                <w:sz w:val="20"/>
                <w:szCs w:val="20"/>
                <w:lang w:val="es-ES_tradnl"/>
              </w:rPr>
              <w:t xml:space="preserve"> </w:t>
            </w:r>
            <w:r>
              <w:rPr>
                <w:spacing w:val="3"/>
                <w:sz w:val="20"/>
                <w:szCs w:val="20"/>
                <w:lang w:val="es-ES_tradnl"/>
              </w:rPr>
              <w:t>al 345 bis del Código Penal, cuando la retribución,</w:t>
            </w:r>
            <w:r>
              <w:rPr>
                <w:sz w:val="20"/>
                <w:szCs w:val="20"/>
                <w:lang w:val="es-ES_tradnl"/>
              </w:rPr>
              <w:t xml:space="preserve"> </w:t>
            </w:r>
            <w:r>
              <w:rPr>
                <w:spacing w:val="3"/>
                <w:sz w:val="20"/>
                <w:szCs w:val="20"/>
                <w:lang w:val="es-ES_tradnl"/>
              </w:rPr>
              <w:t xml:space="preserve">dádiva o ventaja indebida la dé, prometa u ofrezca el </w:t>
            </w:r>
            <w:r>
              <w:rPr>
                <w:spacing w:val="-7"/>
                <w:sz w:val="20"/>
                <w:szCs w:val="20"/>
                <w:lang w:val="es-ES_tradnl"/>
              </w:rPr>
              <w:t xml:space="preserve">director, administrador, gerente, apoderado o empleado </w:t>
            </w:r>
            <w:r>
              <w:rPr>
                <w:spacing w:val="2"/>
                <w:sz w:val="20"/>
                <w:szCs w:val="20"/>
                <w:lang w:val="es-ES_tradnl"/>
              </w:rPr>
              <w:t xml:space="preserve">de una persona jurídica, en relación con el ejercicio </w:t>
            </w:r>
            <w:r>
              <w:rPr>
                <w:sz w:val="20"/>
                <w:szCs w:val="20"/>
                <w:lang w:val="es-ES_tradnl"/>
              </w:rPr>
              <w:t xml:space="preserve">de las funciones propias de su cargo o utilizando </w:t>
            </w:r>
            <w:r>
              <w:rPr>
                <w:spacing w:val="2"/>
                <w:sz w:val="20"/>
                <w:szCs w:val="20"/>
                <w:lang w:val="es-ES_tradnl"/>
              </w:rPr>
              <w:t xml:space="preserve">bienes o medios de esa persona jurídica, a la persona </w:t>
            </w:r>
            <w:r>
              <w:rPr>
                <w:sz w:val="20"/>
                <w:szCs w:val="20"/>
                <w:lang w:val="es-ES_tradnl"/>
              </w:rPr>
              <w:t xml:space="preserve">jurídica le será impuesta una multa de veinte a mil </w:t>
            </w:r>
            <w:r>
              <w:rPr>
                <w:spacing w:val="5"/>
                <w:sz w:val="20"/>
                <w:szCs w:val="20"/>
                <w:lang w:val="es-ES_tradnl"/>
              </w:rPr>
              <w:t xml:space="preserve">salarios base, sin perjuicio e independientemente de las </w:t>
            </w:r>
            <w:r>
              <w:rPr>
                <w:spacing w:val="4"/>
                <w:sz w:val="20"/>
                <w:szCs w:val="20"/>
                <w:lang w:val="es-ES_tradnl"/>
              </w:rPr>
              <w:t xml:space="preserve">responsabilidades penales y civiles que sean exigibles y de la responsabilidad administrativa del funcionario, </w:t>
            </w:r>
            <w:r>
              <w:rPr>
                <w:spacing w:val="6"/>
                <w:sz w:val="20"/>
                <w:szCs w:val="20"/>
                <w:lang w:val="es-ES_tradnl"/>
              </w:rPr>
              <w:t xml:space="preserve">conforme a esta y otras leyes aplicables. </w:t>
            </w:r>
          </w:p>
          <w:p w:rsidR="00967A47" w:rsidRDefault="00967A47" w:rsidP="00967A47">
            <w:pPr>
              <w:spacing w:after="240"/>
              <w:rPr>
                <w:rFonts w:ascii="Times New Roman" w:eastAsia="Times New Roman" w:hAnsi="Times New Roman"/>
                <w:sz w:val="20"/>
                <w:szCs w:val="20"/>
              </w:rPr>
            </w:pPr>
          </w:p>
          <w:p w:rsidR="00967A47" w:rsidRDefault="00967A47" w:rsidP="00967A47">
            <w:pPr>
              <w:pStyle w:val="NormalWeb"/>
              <w:jc w:val="both"/>
              <w:rPr>
                <w:sz w:val="20"/>
                <w:szCs w:val="20"/>
              </w:rPr>
            </w:pPr>
            <w:r>
              <w:rPr>
                <w:spacing w:val="2"/>
                <w:sz w:val="20"/>
                <w:szCs w:val="20"/>
                <w:lang w:val="es-ES_tradnl"/>
              </w:rPr>
              <w:t xml:space="preserve">    Si la retribución, dádiva o ventaja indebida está relacionada con un procedimiento de |contratación </w:t>
            </w:r>
            <w:r>
              <w:rPr>
                <w:spacing w:val="3"/>
                <w:sz w:val="20"/>
                <w:szCs w:val="20"/>
                <w:lang w:val="es-ES_tradnl"/>
              </w:rPr>
              <w:t xml:space="preserve">administrativa, a la persona jurídica responsable se le </w:t>
            </w:r>
            <w:r>
              <w:rPr>
                <w:sz w:val="20"/>
                <w:szCs w:val="20"/>
                <w:lang w:val="es-ES_tradnl"/>
              </w:rPr>
              <w:t xml:space="preserve">aplicará la multa anterior o hasta un diez por ciento (10%) del monto de su oferta o de la adjudicación, el que resulte ser mayor; además, se le impondrá la </w:t>
            </w:r>
            <w:r>
              <w:rPr>
                <w:spacing w:val="2"/>
                <w:sz w:val="20"/>
                <w:szCs w:val="20"/>
                <w:lang w:val="es-ES_tradnl"/>
              </w:rPr>
              <w:t xml:space="preserve">inhabilitación a que se refiere el inciso c) del artículo </w:t>
            </w:r>
            <w:r>
              <w:rPr>
                <w:spacing w:val="7"/>
                <w:sz w:val="20"/>
                <w:szCs w:val="20"/>
                <w:lang w:val="es-ES_tradnl"/>
              </w:rPr>
              <w:t xml:space="preserve">100 de la Ley </w:t>
            </w:r>
            <w:r>
              <w:rPr>
                <w:rStyle w:val="spelle"/>
                <w:spacing w:val="7"/>
                <w:sz w:val="20"/>
                <w:szCs w:val="20"/>
                <w:lang w:val="es-ES_tradnl"/>
              </w:rPr>
              <w:t>N°</w:t>
            </w:r>
            <w:r>
              <w:rPr>
                <w:spacing w:val="7"/>
                <w:sz w:val="20"/>
                <w:szCs w:val="20"/>
                <w:lang w:val="es-ES_tradnl"/>
              </w:rPr>
              <w:t xml:space="preserve"> 7494, Contratación Administrativa. </w:t>
            </w:r>
          </w:p>
          <w:p w:rsidR="00967A47" w:rsidRDefault="00967A47" w:rsidP="00967A47">
            <w:pPr>
              <w:spacing w:after="240"/>
              <w:rPr>
                <w:rFonts w:ascii="Times New Roman" w:eastAsia="Times New Roman" w:hAnsi="Times New Roman"/>
                <w:sz w:val="20"/>
                <w:szCs w:val="20"/>
              </w:rPr>
            </w:pPr>
          </w:p>
          <w:p w:rsidR="00967A47" w:rsidRDefault="00967A47" w:rsidP="00967A47">
            <w:pPr>
              <w:pStyle w:val="NormalWeb"/>
              <w:jc w:val="both"/>
              <w:rPr>
                <w:sz w:val="20"/>
                <w:szCs w:val="20"/>
              </w:rPr>
            </w:pPr>
            <w:r>
              <w:rPr>
                <w:spacing w:val="4"/>
                <w:sz w:val="20"/>
                <w:szCs w:val="20"/>
                <w:lang w:val="es-ES_tradnl"/>
              </w:rPr>
              <w:t xml:space="preserve">    Sin perjuicio de las potestades de la Contraloría </w:t>
            </w:r>
            <w:r>
              <w:rPr>
                <w:spacing w:val="6"/>
                <w:sz w:val="20"/>
                <w:szCs w:val="20"/>
                <w:lang w:val="es-ES_tradnl"/>
              </w:rPr>
              <w:t xml:space="preserve">General de la República, será competente para iniciar el </w:t>
            </w:r>
            <w:r>
              <w:rPr>
                <w:spacing w:val="4"/>
                <w:sz w:val="20"/>
                <w:szCs w:val="20"/>
                <w:lang w:val="es-ES_tradnl"/>
              </w:rPr>
              <w:t xml:space="preserve">procedimiento administrativo e imponer las sanciones previstas en este artículo, cada ministerio o institución </w:t>
            </w:r>
            <w:r>
              <w:rPr>
                <w:spacing w:val="6"/>
                <w:sz w:val="20"/>
                <w:szCs w:val="20"/>
                <w:lang w:val="es-ES_tradnl"/>
              </w:rPr>
              <w:t xml:space="preserve">que forme parte de la Administración Pública, central o </w:t>
            </w:r>
            <w:r>
              <w:rPr>
                <w:spacing w:val="5"/>
                <w:sz w:val="20"/>
                <w:szCs w:val="20"/>
                <w:lang w:val="es-ES_tradnl"/>
              </w:rPr>
              <w:t xml:space="preserve">descentralizada, a nombre de la cual o por cuenta de la </w:t>
            </w:r>
            <w:r>
              <w:rPr>
                <w:spacing w:val="4"/>
                <w:sz w:val="20"/>
                <w:szCs w:val="20"/>
                <w:lang w:val="es-ES_tradnl"/>
              </w:rPr>
              <w:t xml:space="preserve">cual actúe, o a la que le preste servicios el funcionario </w:t>
            </w:r>
            <w:r>
              <w:rPr>
                <w:sz w:val="20"/>
                <w:szCs w:val="20"/>
                <w:lang w:val="es-ES_tradnl"/>
              </w:rPr>
              <w:t xml:space="preserve">a quien se le haya dado, ofrecido o prometido la </w:t>
            </w:r>
            <w:r>
              <w:rPr>
                <w:spacing w:val="4"/>
                <w:sz w:val="20"/>
                <w:szCs w:val="20"/>
                <w:lang w:val="es-ES_tradnl"/>
              </w:rPr>
              <w:t xml:space="preserve">retribución, dádiva o ventaja indebida, de acuerdo con las reglamentaciones aplicables. En los casos a que se </w:t>
            </w:r>
            <w:r>
              <w:rPr>
                <w:spacing w:val="2"/>
                <w:sz w:val="20"/>
                <w:szCs w:val="20"/>
                <w:lang w:val="es-ES_tradnl"/>
              </w:rPr>
              <w:t xml:space="preserve">refiere el artículo 55 de esta Ley, será competente el Ministerio de Justicia y </w:t>
            </w:r>
            <w:proofErr w:type="gramStart"/>
            <w:r>
              <w:rPr>
                <w:rStyle w:val="grame"/>
                <w:spacing w:val="2"/>
                <w:sz w:val="20"/>
                <w:szCs w:val="20"/>
                <w:lang w:val="es-ES_tradnl"/>
              </w:rPr>
              <w:t>Paz</w:t>
            </w:r>
            <w:r>
              <w:rPr>
                <w:rStyle w:val="grame"/>
                <w:i/>
                <w:spacing w:val="2"/>
                <w:sz w:val="20"/>
                <w:szCs w:val="20"/>
                <w:lang w:val="es-ES_tradnl"/>
              </w:rPr>
              <w:t>(</w:t>
            </w:r>
            <w:proofErr w:type="gramEnd"/>
            <w:r>
              <w:rPr>
                <w:i/>
                <w:spacing w:val="2"/>
                <w:sz w:val="20"/>
                <w:szCs w:val="20"/>
                <w:lang w:val="es-ES_tradnl"/>
              </w:rPr>
              <w:t>*)</w:t>
            </w:r>
            <w:r>
              <w:rPr>
                <w:spacing w:val="2"/>
                <w:sz w:val="20"/>
                <w:szCs w:val="20"/>
                <w:lang w:val="es-ES_tradnl"/>
              </w:rPr>
              <w:t xml:space="preserve">, el cual contará, para </w:t>
            </w:r>
            <w:r>
              <w:rPr>
                <w:spacing w:val="3"/>
                <w:sz w:val="20"/>
                <w:szCs w:val="20"/>
                <w:lang w:val="es-ES_tradnl"/>
              </w:rPr>
              <w:t xml:space="preserve">esos efectos, con el asesoramiento de la Procuraduría </w:t>
            </w:r>
            <w:r>
              <w:rPr>
                <w:spacing w:val="-6"/>
                <w:sz w:val="20"/>
                <w:szCs w:val="20"/>
                <w:lang w:val="es-ES_tradnl"/>
              </w:rPr>
              <w:t xml:space="preserve">General de la República, en lo pertinente. </w:t>
            </w:r>
          </w:p>
          <w:p w:rsidR="00967A47" w:rsidRDefault="00967A47" w:rsidP="00967A47">
            <w:pPr>
              <w:spacing w:after="240"/>
              <w:rPr>
                <w:rFonts w:ascii="Times New Roman" w:eastAsia="Times New Roman" w:hAnsi="Times New Roman"/>
                <w:sz w:val="20"/>
                <w:szCs w:val="20"/>
              </w:rPr>
            </w:pPr>
          </w:p>
          <w:p w:rsidR="00967A47" w:rsidRDefault="00967A47" w:rsidP="00967A47">
            <w:pPr>
              <w:pStyle w:val="NormalWeb"/>
              <w:jc w:val="both"/>
              <w:rPr>
                <w:sz w:val="20"/>
                <w:szCs w:val="20"/>
              </w:rPr>
            </w:pPr>
            <w:r>
              <w:rPr>
                <w:rStyle w:val="nfasis"/>
                <w:color w:val="000000"/>
                <w:sz w:val="20"/>
                <w:szCs w:val="20"/>
              </w:rPr>
              <w:t>(*) (Modificada su denominación por el artículo 3° de la ley N° 8771 del 14 de setiembre de 2009)</w:t>
            </w:r>
            <w:r>
              <w:rPr>
                <w:i/>
                <w:iCs/>
                <w:color w:val="000000"/>
                <w:sz w:val="20"/>
                <w:szCs w:val="20"/>
              </w:rPr>
              <w:t xml:space="preserve"> </w:t>
            </w:r>
          </w:p>
          <w:p w:rsidR="00967A47" w:rsidRDefault="00967A47" w:rsidP="00967A47">
            <w:pPr>
              <w:spacing w:after="240"/>
              <w:rPr>
                <w:rFonts w:ascii="Times New Roman" w:eastAsia="Times New Roman" w:hAnsi="Times New Roman"/>
                <w:sz w:val="20"/>
                <w:szCs w:val="20"/>
              </w:rPr>
            </w:pPr>
          </w:p>
          <w:p w:rsidR="00967A47" w:rsidRDefault="00967A47" w:rsidP="00967A47">
            <w:pPr>
              <w:pStyle w:val="NormalWeb"/>
              <w:jc w:val="both"/>
              <w:rPr>
                <w:sz w:val="20"/>
                <w:szCs w:val="20"/>
              </w:rPr>
            </w:pPr>
            <w:r>
              <w:rPr>
                <w:spacing w:val="4"/>
                <w:sz w:val="20"/>
                <w:szCs w:val="20"/>
                <w:lang w:val="es-ES_tradnl"/>
              </w:rPr>
              <w:t xml:space="preserve">    En los casos en que la institución pública competente </w:t>
            </w:r>
            <w:r>
              <w:rPr>
                <w:spacing w:val="1"/>
                <w:sz w:val="20"/>
                <w:szCs w:val="20"/>
                <w:lang w:val="es-ES_tradnl"/>
              </w:rPr>
              <w:t xml:space="preserve">para imponer las sanciones previstas en ese artículo </w:t>
            </w:r>
            <w:r>
              <w:rPr>
                <w:spacing w:val="-6"/>
                <w:sz w:val="20"/>
                <w:szCs w:val="20"/>
                <w:lang w:val="es-ES_tradnl"/>
              </w:rPr>
              <w:t xml:space="preserve">ostente competencia regulatoria atribuida por ley sobre </w:t>
            </w:r>
            <w:r>
              <w:rPr>
                <w:sz w:val="20"/>
                <w:szCs w:val="20"/>
                <w:lang w:val="es-ES_tradnl"/>
              </w:rPr>
              <w:t xml:space="preserve">la persona jurídica responsable, podrá aplicarse la </w:t>
            </w:r>
            <w:r>
              <w:rPr>
                <w:spacing w:val="5"/>
                <w:sz w:val="20"/>
                <w:szCs w:val="20"/>
                <w:lang w:val="es-ES_tradnl"/>
              </w:rPr>
              <w:t xml:space="preserve">sanción indicada en los párrafos primero y segundo, o </w:t>
            </w:r>
            <w:r>
              <w:rPr>
                <w:spacing w:val="6"/>
                <w:sz w:val="20"/>
                <w:szCs w:val="20"/>
                <w:lang w:val="es-ES_tradnl"/>
              </w:rPr>
              <w:t xml:space="preserve">bien, según la gravedad de la falta y sin perjuicio de las </w:t>
            </w:r>
            <w:r>
              <w:rPr>
                <w:spacing w:val="8"/>
                <w:sz w:val="20"/>
                <w:szCs w:val="20"/>
                <w:lang w:val="es-ES_tradnl"/>
              </w:rPr>
              <w:t xml:space="preserve">demás potestades de la respectiva institución, cualquiera </w:t>
            </w:r>
            <w:r>
              <w:rPr>
                <w:spacing w:val="6"/>
                <w:sz w:val="20"/>
                <w:szCs w:val="20"/>
                <w:lang w:val="es-ES_tradnl"/>
              </w:rPr>
              <w:t xml:space="preserve">de las siguientes sanciones: </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spacing w:val="4"/>
                <w:lang w:val="es-ES_tradnl"/>
              </w:rPr>
              <w:t xml:space="preserve">  </w:t>
            </w:r>
          </w:p>
          <w:p w:rsidR="00967A47" w:rsidRDefault="00967A47" w:rsidP="00967A47">
            <w:pPr>
              <w:spacing w:after="240"/>
              <w:rPr>
                <w:rFonts w:ascii="Times New Roman" w:eastAsia="Times New Roman" w:hAnsi="Times New Roman"/>
                <w:sz w:val="20"/>
                <w:szCs w:val="20"/>
              </w:rPr>
            </w:pPr>
          </w:p>
          <w:p w:rsidR="00967A47" w:rsidRDefault="00967A47" w:rsidP="00967A47">
            <w:pPr>
              <w:ind w:left="708"/>
              <w:jc w:val="both"/>
            </w:pPr>
            <w:r>
              <w:rPr>
                <w:b/>
                <w:spacing w:val="2"/>
                <w:lang w:val="es-ES_tradnl"/>
              </w:rPr>
              <w:t>a)</w:t>
            </w:r>
            <w:r>
              <w:rPr>
                <w:spacing w:val="2"/>
                <w:lang w:val="es-ES_tradnl"/>
              </w:rPr>
              <w:t xml:space="preserve"> Clausura de la empresa, las sucursales, </w:t>
            </w:r>
            <w:r>
              <w:rPr>
                <w:spacing w:val="4"/>
                <w:lang w:val="es-ES_tradnl"/>
              </w:rPr>
              <w:t xml:space="preserve">los locales o el establecimiento con carácter </w:t>
            </w:r>
            <w:r>
              <w:rPr>
                <w:spacing w:val="6"/>
                <w:lang w:val="es-ES_tradnl"/>
              </w:rPr>
              <w:t xml:space="preserve">temporal, por un plazo que no podrá exceder </w:t>
            </w:r>
            <w:r>
              <w:rPr>
                <w:spacing w:val="8"/>
                <w:lang w:val="es-ES_tradnl"/>
              </w:rPr>
              <w:t xml:space="preserve">de cinco años. </w:t>
            </w:r>
          </w:p>
          <w:p w:rsidR="00967A47" w:rsidRDefault="00967A47" w:rsidP="00967A47">
            <w:pPr>
              <w:spacing w:after="240"/>
              <w:rPr>
                <w:rFonts w:ascii="Times New Roman" w:eastAsia="Times New Roman" w:hAnsi="Times New Roman"/>
                <w:sz w:val="20"/>
                <w:szCs w:val="20"/>
              </w:rPr>
            </w:pPr>
          </w:p>
          <w:p w:rsidR="00967A47" w:rsidRDefault="00967A47" w:rsidP="00967A47">
            <w:pPr>
              <w:ind w:left="708"/>
              <w:jc w:val="both"/>
            </w:pPr>
            <w:r>
              <w:t xml:space="preserve">  </w:t>
            </w:r>
          </w:p>
          <w:p w:rsidR="00967A47" w:rsidRDefault="00967A47" w:rsidP="00967A47">
            <w:pPr>
              <w:spacing w:after="240"/>
              <w:rPr>
                <w:rFonts w:ascii="Times New Roman" w:eastAsia="Times New Roman" w:hAnsi="Times New Roman"/>
                <w:sz w:val="20"/>
                <w:szCs w:val="20"/>
              </w:rPr>
            </w:pPr>
          </w:p>
          <w:p w:rsidR="00967A47" w:rsidRDefault="00967A47" w:rsidP="00967A47">
            <w:pPr>
              <w:ind w:left="708"/>
              <w:jc w:val="both"/>
            </w:pPr>
            <w:r>
              <w:rPr>
                <w:b/>
                <w:bCs/>
                <w:spacing w:val="9"/>
                <w:lang w:val="es-ES_tradnl"/>
              </w:rPr>
              <w:t xml:space="preserve">b) </w:t>
            </w:r>
            <w:r>
              <w:rPr>
                <w:spacing w:val="9"/>
                <w:lang w:val="es-ES_tradnl"/>
              </w:rPr>
              <w:t xml:space="preserve">Suspensión de las actividades de la empresa </w:t>
            </w:r>
            <w:r>
              <w:rPr>
                <w:spacing w:val="8"/>
                <w:lang w:val="es-ES_tradnl"/>
              </w:rPr>
              <w:t xml:space="preserve">hasta por el plazo máximo de cinco años. </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t xml:space="preserve">  </w:t>
            </w:r>
          </w:p>
          <w:p w:rsidR="00967A47" w:rsidRDefault="00967A47" w:rsidP="00967A47">
            <w:pPr>
              <w:spacing w:after="240"/>
              <w:rPr>
                <w:rFonts w:ascii="Times New Roman" w:eastAsia="Times New Roman" w:hAnsi="Times New Roman"/>
                <w:sz w:val="20"/>
                <w:szCs w:val="20"/>
              </w:rPr>
            </w:pPr>
          </w:p>
          <w:p w:rsidR="00967A47" w:rsidRDefault="00967A47" w:rsidP="00967A47">
            <w:pPr>
              <w:ind w:left="708"/>
              <w:jc w:val="both"/>
            </w:pPr>
            <w:r>
              <w:rPr>
                <w:b/>
                <w:bCs/>
                <w:spacing w:val="6"/>
                <w:lang w:val="es-ES_tradnl"/>
              </w:rPr>
              <w:t xml:space="preserve">c) </w:t>
            </w:r>
            <w:r>
              <w:rPr>
                <w:spacing w:val="6"/>
                <w:lang w:val="es-ES_tradnl"/>
              </w:rPr>
              <w:t xml:space="preserve">Cancelación de la concesión o el permiso </w:t>
            </w:r>
            <w:r>
              <w:rPr>
                <w:spacing w:val="8"/>
                <w:lang w:val="es-ES_tradnl"/>
              </w:rPr>
              <w:t xml:space="preserve">de operación de la empresa. </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t xml:space="preserve">  </w:t>
            </w:r>
          </w:p>
          <w:p w:rsidR="00967A47" w:rsidRDefault="00967A47" w:rsidP="00967A47">
            <w:pPr>
              <w:spacing w:after="240"/>
              <w:rPr>
                <w:rFonts w:ascii="Times New Roman" w:eastAsia="Times New Roman" w:hAnsi="Times New Roman"/>
                <w:sz w:val="20"/>
                <w:szCs w:val="20"/>
              </w:rPr>
            </w:pPr>
          </w:p>
          <w:p w:rsidR="00967A47" w:rsidRDefault="00967A47" w:rsidP="00967A47">
            <w:pPr>
              <w:ind w:left="708"/>
              <w:jc w:val="both"/>
            </w:pPr>
            <w:r>
              <w:rPr>
                <w:b/>
                <w:bCs/>
                <w:lang w:val="es-ES_tradnl"/>
              </w:rPr>
              <w:t xml:space="preserve">d) </w:t>
            </w:r>
            <w:r>
              <w:rPr>
                <w:lang w:val="es-ES_tradnl"/>
              </w:rPr>
              <w:t xml:space="preserve">Pérdida de los beneficios fiscales o las </w:t>
            </w:r>
            <w:r>
              <w:rPr>
                <w:spacing w:val="8"/>
                <w:lang w:val="es-ES_tradnl"/>
              </w:rPr>
              <w:t xml:space="preserve">exoneraciones otorgados a la empresa. </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t xml:space="preserve">  </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t xml:space="preserve">   </w:t>
            </w:r>
            <w:r>
              <w:rPr>
                <w:spacing w:val="4"/>
                <w:lang w:val="es-ES_tradnl"/>
              </w:rPr>
              <w:t xml:space="preserve">Para la imposición de las sanciones previstas en este </w:t>
            </w:r>
            <w:r>
              <w:rPr>
                <w:spacing w:val="3"/>
                <w:lang w:val="es-ES_tradnl"/>
              </w:rPr>
              <w:t xml:space="preserve">artículo, deberá seguirse el procedimiento ordinario </w:t>
            </w:r>
            <w:r>
              <w:rPr>
                <w:spacing w:val="-2"/>
                <w:lang w:val="es-ES_tradnl"/>
              </w:rPr>
              <w:t xml:space="preserve">previsto en la Ley General de la Administración Pública y respetarse el debido proceso. En cuanto a </w:t>
            </w:r>
            <w:r>
              <w:rPr>
                <w:spacing w:val="4"/>
                <w:lang w:val="es-ES_tradnl"/>
              </w:rPr>
              <w:t xml:space="preserve">la prescripción, se aplicará lo dispuesto en el artículo </w:t>
            </w:r>
            <w:r>
              <w:rPr>
                <w:spacing w:val="5"/>
                <w:lang w:val="es-ES_tradnl"/>
              </w:rPr>
              <w:t xml:space="preserve">71 de la Ley Orgánica de la Contraloría General de la </w:t>
            </w:r>
            <w:r>
              <w:rPr>
                <w:spacing w:val="9"/>
                <w:lang w:val="es-ES_tradnl"/>
              </w:rPr>
              <w:t xml:space="preserve">República, </w:t>
            </w:r>
            <w:r>
              <w:rPr>
                <w:rStyle w:val="spelle"/>
                <w:spacing w:val="9"/>
                <w:lang w:val="es-ES_tradnl"/>
              </w:rPr>
              <w:t>N°</w:t>
            </w:r>
            <w:r>
              <w:rPr>
                <w:spacing w:val="9"/>
                <w:lang w:val="es-ES_tradnl"/>
              </w:rPr>
              <w:t xml:space="preserve"> 7428.</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t> </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t xml:space="preserve">    </w:t>
            </w:r>
            <w:r>
              <w:rPr>
                <w:lang w:val="es-ES_tradnl"/>
              </w:rPr>
              <w:t xml:space="preserve">La resolución final que se dicte deberá declarar la </w:t>
            </w:r>
            <w:r>
              <w:rPr>
                <w:spacing w:val="-7"/>
                <w:lang w:val="es-ES_tradnl"/>
              </w:rPr>
              <w:t xml:space="preserve">responsabilidad correspondiente y el monto pecuniario. </w:t>
            </w:r>
            <w:r>
              <w:rPr>
                <w:spacing w:val="4"/>
                <w:lang w:val="es-ES_tradnl"/>
              </w:rPr>
              <w:t xml:space="preserve">La certificación de la resolución firme será título </w:t>
            </w:r>
            <w:r>
              <w:rPr>
                <w:spacing w:val="6"/>
                <w:lang w:val="es-ES_tradnl"/>
              </w:rPr>
              <w:t xml:space="preserve">ejecutivo contra el responsable. </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t> </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t xml:space="preserve">    </w:t>
            </w:r>
            <w:r>
              <w:rPr>
                <w:lang w:val="es-ES_tradnl"/>
              </w:rPr>
              <w:t xml:space="preserve">Si se presentan causas de abstención o recusación </w:t>
            </w:r>
            <w:r>
              <w:rPr>
                <w:spacing w:val="-2"/>
                <w:lang w:val="es-ES_tradnl"/>
              </w:rPr>
              <w:t xml:space="preserve">respecto de algún funcionario que deba intervenir o </w:t>
            </w:r>
            <w:r>
              <w:rPr>
                <w:spacing w:val="8"/>
                <w:lang w:val="es-ES_tradnl"/>
              </w:rPr>
              <w:t xml:space="preserve">resolver en un procedimiento basado en este artículo, se </w:t>
            </w:r>
            <w:r>
              <w:rPr>
                <w:spacing w:val="6"/>
                <w:lang w:val="es-ES_tradnl"/>
              </w:rPr>
              <w:t xml:space="preserve">aplicarán las reglas pertinentes de la Ley General de la </w:t>
            </w:r>
            <w:r>
              <w:rPr>
                <w:spacing w:val="-7"/>
                <w:lang w:val="es-ES_tradnl"/>
              </w:rPr>
              <w:t>Administración Pública.</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t> </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t xml:space="preserve">    </w:t>
            </w:r>
            <w:r>
              <w:rPr>
                <w:spacing w:val="3"/>
                <w:lang w:val="es-ES_tradnl"/>
              </w:rPr>
              <w:t xml:space="preserve">Las auditorías internas de las instituciones públicas </w:t>
            </w:r>
            <w:r>
              <w:rPr>
                <w:spacing w:val="11"/>
                <w:lang w:val="es-ES_tradnl"/>
              </w:rPr>
              <w:t xml:space="preserve">velarán por que se establezcan procedimientos adecuados </w:t>
            </w:r>
            <w:r>
              <w:rPr>
                <w:spacing w:val="1"/>
                <w:lang w:val="es-ES_tradnl"/>
              </w:rPr>
              <w:t xml:space="preserve">para el efectivo cumplimiento de las disposiciones </w:t>
            </w:r>
            <w:r>
              <w:rPr>
                <w:spacing w:val="3"/>
                <w:lang w:val="es-ES_tradnl"/>
              </w:rPr>
              <w:t xml:space="preserve">de este artículo, sin perjuicio de las potestades de la </w:t>
            </w:r>
            <w:r>
              <w:rPr>
                <w:spacing w:val="-7"/>
                <w:lang w:val="es-ES_tradnl"/>
              </w:rPr>
              <w:t>Contraloría General de la República.</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t xml:space="preserve">  </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i/>
                <w:iCs/>
              </w:rPr>
              <w:t xml:space="preserve">(Así adicionado por el artículo 2° inciso b) de la Ley </w:t>
            </w:r>
            <w:r>
              <w:rPr>
                <w:rStyle w:val="spelle"/>
                <w:i/>
                <w:iCs/>
              </w:rPr>
              <w:t>N°</w:t>
            </w:r>
            <w:r>
              <w:rPr>
                <w:i/>
                <w:iCs/>
              </w:rPr>
              <w:t xml:space="preserve"> 8630 del 17 de enero de 2008)</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49"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center"/>
            </w:pPr>
            <w:r>
              <w:rPr>
                <w:b/>
                <w:bCs/>
                <w:color w:val="000000"/>
              </w:rPr>
              <w:t>CAPÍTULO V</w:t>
            </w:r>
          </w:p>
          <w:p w:rsidR="00967A47" w:rsidRDefault="00967A47" w:rsidP="00967A47">
            <w:pPr>
              <w:spacing w:after="240"/>
              <w:rPr>
                <w:rFonts w:ascii="Times New Roman" w:eastAsia="Times New Roman" w:hAnsi="Times New Roman"/>
                <w:sz w:val="20"/>
                <w:szCs w:val="20"/>
              </w:rPr>
            </w:pPr>
          </w:p>
          <w:p w:rsidR="00967A47" w:rsidRDefault="00967A47" w:rsidP="00967A47">
            <w:pPr>
              <w:jc w:val="center"/>
            </w:pPr>
            <w:r>
              <w:rPr>
                <w:b/>
                <w:bCs/>
                <w:color w:val="000000"/>
              </w:rPr>
              <w:t>Delitos</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b/>
                <w:bCs/>
                <w:color w:val="000000"/>
              </w:rPr>
              <w:t> </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Artículo 45.-</w:t>
            </w:r>
            <w:r>
              <w:rPr>
                <w:b/>
                <w:bCs/>
                <w:color w:val="000000"/>
              </w:rPr>
              <w:t>Enriquecimiento ilícito</w:t>
            </w:r>
            <w:r>
              <w:rPr>
                <w:color w:val="000000"/>
              </w:rPr>
              <w:t>. Será sancionado con prisión de tres a seis años quien, aprovechando ilegítimamente el ejercicio de la función pública o la custodia, la explotación, el uso o la administración de fondos, servicios o bienes públicos, bajo cualquier título o modalidad de gestión, por sí o por interpósita persona física o jurídica, acreciente su patrimonio, adquiera bienes, goce derechos, cancele deudas o extinga obligaciones que afecten su patrimonio o el de personas jurídicas, en cuyo capital social tenga participación ya sea directamente o por medio de otras personas jurídicas.</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50"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46.-</w:t>
            </w:r>
            <w:r>
              <w:rPr>
                <w:b/>
                <w:bCs/>
                <w:color w:val="000000"/>
              </w:rPr>
              <w:t>Falsedad en la declaración jurada</w:t>
            </w:r>
            <w:r>
              <w:rPr>
                <w:color w:val="000000"/>
              </w:rPr>
              <w:t>. Será reprimido con prisión de seis meses a un año, quien incurra en falsedad, simulación o encubrimiento al realizar las declaraciones juradas de bienes ante la Contraloría General de la República.</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51"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47.-</w:t>
            </w:r>
            <w:r>
              <w:rPr>
                <w:b/>
                <w:bCs/>
                <w:color w:val="000000"/>
              </w:rPr>
              <w:t>Receptación, legalización o encubrimiento de</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proofErr w:type="gramStart"/>
            <w:r>
              <w:rPr>
                <w:b/>
                <w:bCs/>
                <w:color w:val="000000"/>
              </w:rPr>
              <w:t>bienes</w:t>
            </w:r>
            <w:proofErr w:type="gramEnd"/>
            <w:r>
              <w:rPr>
                <w:color w:val="000000"/>
              </w:rPr>
              <w:t>. Será sancionado con prisión de uno a ocho años, quien oculte, asegure, transforme, invierta, transfiera, custodie, administre, adquiera o dé apariencia de legitimidad a bienes o derechos, a sabiendas de que han sido producto del enriquecimiento ilícito o de actividades delictivas de un funcionario público, cometidas con ocasión del cargo o por los medios y las oportunidades que este le brinda.</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52"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48.-</w:t>
            </w:r>
            <w:r>
              <w:rPr>
                <w:b/>
                <w:bCs/>
                <w:color w:val="000000"/>
              </w:rPr>
              <w:t>Legislación o administración en provecho propio</w:t>
            </w:r>
            <w:r>
              <w:rPr>
                <w:color w:val="000000"/>
              </w:rPr>
              <w:t>.</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Será sancionado con prisión de uno a ocho años, el funcionario público que sancione, promulgue, autorice, suscriba o participe con su voto favorable, en las leyes, decretos, acuerdos, actos y contratos administrativos que otorguen, en forma directa, beneficios para sí mismo, para su cónyuge, compañero, compañera o conviviente, sus parientes incluso hasta el tercer grado de consanguinidad o afinidad o para las empresas en las que el funcionario público, su cónyuge, compañero, compañera o conviviente, sus parientes incluso hasta el tercer grado de consanguinidad o afinidad posean participación accionaria, ya sea directamente o por intermedio de otras personas jurídicas en cuyo capital social participen o sean apoderados o miembros de algún órgano social.</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Igual pena se aplicará a quien favorezca a su cónyuge, su compañero, compañera o conviviente o a sus parientes, incluso hasta el tercer grado de consanguinidad o afinidad, o se favorezca a sí mismo, con beneficios patrimoniales contenidos en convenciones colectivas, en cuya negociación haya participado como representante de la parte patronal.</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53"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49.-</w:t>
            </w:r>
            <w:r>
              <w:rPr>
                <w:b/>
                <w:bCs/>
                <w:color w:val="000000"/>
              </w:rPr>
              <w:t>Sobreprecio irregular</w:t>
            </w:r>
            <w:r>
              <w:rPr>
                <w:color w:val="000000"/>
              </w:rPr>
              <w:t>. Será penado con prisión de tres a diez años, quien, por el pago de precios superiores o inferiores - según el caso- al valor real o corriente y según la calidad o especialidad del servicio o producto, obtenga una ventaja o un beneficio de cualquier índole para sí o para un tercero en la adquisición, enajenación, la concesión, o el gravamen de bienes, obras o servicios en los que estén interesados el Estado, los demás entes y las empresas públicas, las municipalidades y los sujetos de derecho privado que administren, exploten o custodien, fondos o bienes públicos por cualquier título o modalidad de gestión.</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54"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50.-</w:t>
            </w:r>
            <w:r>
              <w:rPr>
                <w:b/>
                <w:bCs/>
                <w:color w:val="000000"/>
              </w:rPr>
              <w:t>Falsedad en la recepción de bienes y servicios contratados</w:t>
            </w:r>
            <w:r>
              <w:rPr>
                <w:color w:val="000000"/>
              </w:rPr>
              <w:t>. Será penado con prisión de dos a ocho años, el funcionario público, el consultor o alguno de los servidores de este, contratados por la respectiva entidad pública, que incurran en falsedad o en manipulación de la información acerca de la ejecución o construcción de una obra pública, o sobre la existencia, cantidad, calidad o naturaleza de los bienes y servicios contratados o de las obras entregadas en concesión, con el propósito de dar por recibido a satisfacción el servicio o la obra. Si con esa conducta se entorpece el servicio que se presta o se le imposibilita a la entidad pública el uso de la obra o la adecuada atención de las necesidades que debía atender el servicio contratado, los extremos menor y mayor de la pena se aumentarán en un tercio.</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55"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51.-</w:t>
            </w:r>
            <w:r>
              <w:rPr>
                <w:b/>
                <w:bCs/>
                <w:color w:val="000000"/>
              </w:rPr>
              <w:t>Pago irregular de contratos administrativos</w:t>
            </w:r>
            <w:r>
              <w:rPr>
                <w:color w:val="000000"/>
              </w:rPr>
              <w:t>. Será penado con prisión de uno a tres años, el funcionario público que autorice, ordene, consienta, apruebe o permita pagos, a sabiendas de que se trata de obras, servicios o suministros no realizados o inaceptables por haber sido ejecutados o entregados defectuosamente, de acuerdo con los términos de la contratación, o en consideración de reglas unívocas de la ciencia o la técnica.</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56"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52.-</w:t>
            </w:r>
            <w:r>
              <w:rPr>
                <w:b/>
                <w:bCs/>
                <w:color w:val="000000"/>
              </w:rPr>
              <w:t>Tráfico de influencias</w:t>
            </w:r>
            <w:r>
              <w:rPr>
                <w:color w:val="000000"/>
              </w:rPr>
              <w:t xml:space="preserve">. Será sancionado con pena de prisión de dos a cinco años, quien directamente o por interpósita persona, influya en un servidor público, prevaliéndose de su cargo o de cualquiera otra situación derivada de su situación personal o jerárquica con este o con otro servidor público, ya sea real o simulada, para que haga, retarde u omita un nombramiento, adjudicación, concesión, contrato, acto o resolución propios de sus funciones, de modo que genere, directa o indirectamente, un beneficio económico o ventaja indebidos, para sí o para otro.  </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Con igual pena se sancionará a quien utilice u ofrezca la influencia descrita en el párrafo anterior.</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 xml:space="preserve">Los extremos de la pena señalada en el párrafo primero se elevarán en un tercio, cuando la influencia provenga del presidente o del vicepresidente de la República, de los miembros de los Supremos Poderes, o del Tribunal Supremo de Elecciones, del contralor o el </w:t>
            </w:r>
            <w:proofErr w:type="spellStart"/>
            <w:r>
              <w:rPr>
                <w:color w:val="000000"/>
              </w:rPr>
              <w:t>subcontralor</w:t>
            </w:r>
            <w:proofErr w:type="spellEnd"/>
            <w:r>
              <w:rPr>
                <w:color w:val="000000"/>
              </w:rPr>
              <w:t xml:space="preserve"> generales de la República; del procurador general o del procurador general adjunto de la República, del fiscal general de la República, del defensor o el defensor adjunto de los habitantes, del superior jerárquico de quien debe resolver o de miembros de los partidos políticos que ocupen cargos de dirección a nivel nacional.</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57"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53.-</w:t>
            </w:r>
            <w:r>
              <w:rPr>
                <w:b/>
                <w:bCs/>
                <w:color w:val="000000"/>
              </w:rPr>
              <w:t>Prohibiciones posteriores al servicio del cargo</w:t>
            </w:r>
            <w:r>
              <w:rPr>
                <w:color w:val="000000"/>
              </w:rPr>
              <w:t>. Será penado con cien a ciento cincuenta días multa, el funcionario público que, dentro del año siguiente a la celebración de un contrato administrativo mayor o igual que el límite establecido para la licitación pública en la entidad donde prestó servicios, acepte empleo remunerado o participación en el capital social con la persona física o jurídica favorecida, si tuvo participación en alguna de las fases del proceso de diseño y elaboración de las especificaciones técnicas o de los planos constructivos, en el proceso de selección y adjudicación, en el estudio y la resolución de los recursos administrativos contra la adjudicación, o bien, en el proceso de inspección y fiscalización de la etapa constructiva o la recepción del bien o servicio de que se trate.</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58"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54.-</w:t>
            </w:r>
            <w:r>
              <w:rPr>
                <w:b/>
                <w:bCs/>
                <w:color w:val="000000"/>
              </w:rPr>
              <w:t>Apropiación de bienes obsequiados al Estado</w:t>
            </w:r>
            <w:r>
              <w:rPr>
                <w:color w:val="000000"/>
              </w:rPr>
              <w:t>.</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Será penado con prisión de uno a dos años el funcionario público que se apropie o retenga obsequios o donaciones que deba entregar al Estado, de conformidad con el artículo 20 de esta Ley.</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59"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ind w:firstLine="708"/>
              <w:jc w:val="both"/>
            </w:pPr>
            <w:r>
              <w:rPr>
                <w:rFonts w:ascii="Verdana!important" w:hAnsi="Verdana!important"/>
                <w:b/>
                <w:bCs/>
                <w:lang w:eastAsia="en-US"/>
              </w:rPr>
              <w:t xml:space="preserve">Artículo 55.- Soborno transnacional </w:t>
            </w:r>
            <w:r>
              <w:rPr>
                <w:rFonts w:ascii="Verdana!important" w:hAnsi="Verdana!important"/>
                <w:lang w:eastAsia="en-US"/>
              </w:rPr>
              <w:t xml:space="preserve">Será sancionado con prisión de dos a ocho años, quien ofrezca, prometa u otorgue, de forma directa o mediante un intermediario, a un funcionario público de otro Estado, cualquiera que sea el nivel de gobierno o entidad o empresa pública en que se desempeñe, o a un funcionario o representante de un organismo internacional, directa o indirectamente, cualquier dádiva, retribución o ventaja indebida, ya sea para ese funcionario o para otra persona física o jurídica, con el fin de que dicho funcionario, utilizando su cargo, realice, retarde u omita cualquier acto o, indebidamente, haga valer ante otro funcionario la influencia derivada de su cargo. </w:t>
            </w:r>
          </w:p>
          <w:p w:rsidR="00967A47" w:rsidRDefault="00967A47" w:rsidP="00967A47">
            <w:pPr>
              <w:spacing w:after="240"/>
              <w:rPr>
                <w:rFonts w:ascii="Times New Roman" w:eastAsia="Times New Roman" w:hAnsi="Times New Roman"/>
                <w:sz w:val="20"/>
                <w:szCs w:val="20"/>
              </w:rPr>
            </w:pPr>
          </w:p>
          <w:p w:rsidR="00967A47" w:rsidRDefault="00967A47" w:rsidP="00967A47">
            <w:pPr>
              <w:ind w:firstLine="708"/>
              <w:jc w:val="both"/>
            </w:pPr>
            <w:r>
              <w:rPr>
                <w:rFonts w:ascii="Verdana!important" w:hAnsi="Verdana!important"/>
                <w:lang w:eastAsia="en-US"/>
              </w:rPr>
              <w:t xml:space="preserve">La pena será de tres a diez años, si el soborno se efectúa para que el funcionario ejecute un acto contrario a sus deberes. </w:t>
            </w:r>
          </w:p>
          <w:p w:rsidR="00967A47" w:rsidRDefault="00967A47" w:rsidP="00967A47">
            <w:pPr>
              <w:spacing w:after="240"/>
              <w:rPr>
                <w:rFonts w:ascii="Times New Roman" w:eastAsia="Times New Roman" w:hAnsi="Times New Roman"/>
                <w:sz w:val="20"/>
                <w:szCs w:val="20"/>
              </w:rPr>
            </w:pPr>
          </w:p>
          <w:p w:rsidR="00967A47" w:rsidRDefault="00967A47" w:rsidP="00967A47">
            <w:pPr>
              <w:ind w:firstLine="708"/>
              <w:jc w:val="both"/>
            </w:pPr>
            <w:r>
              <w:rPr>
                <w:rFonts w:ascii="Verdana!important" w:hAnsi="Verdana!important"/>
                <w:lang w:eastAsia="en-US"/>
              </w:rPr>
              <w:t xml:space="preserve">La misma pena se aplicará a quien solicite, acepte o reciba la dádiva, retribución o ventaja mencionadas. </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rFonts w:ascii="Verdana!important" w:hAnsi="Verdana!important"/>
                <w:i/>
                <w:lang w:eastAsia="en-US"/>
              </w:rPr>
              <w:t>(Así reformado por el artículo único de la ley N° 9389 del 16 de agosto de 2016)</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60"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56.-</w:t>
            </w:r>
            <w:r>
              <w:rPr>
                <w:b/>
                <w:bCs/>
                <w:color w:val="000000"/>
              </w:rPr>
              <w:t>Reconocimiento ilegal de beneficios laborales</w:t>
            </w:r>
            <w:r>
              <w:rPr>
                <w:color w:val="000000"/>
              </w:rPr>
              <w:t>.  Será penado con prisión de tres meses a dos años, el funcionario público que, en representación de la Administración Pública y por cuenta de ella, otorgue o reconozca beneficios patrimoniales derivados de la relación de servicio, con infracción del ordenamiento jurídico aplicable.</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61"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57.-</w:t>
            </w:r>
            <w:r>
              <w:rPr>
                <w:b/>
                <w:bCs/>
                <w:color w:val="000000"/>
              </w:rPr>
              <w:t>Influencia en contra de la Hacienda Pública</w:t>
            </w:r>
            <w:r>
              <w:rPr>
                <w:color w:val="000000"/>
              </w:rPr>
              <w:t>. Serán penados con prisión de dos a ocho años, el funcionario público y los demás sujetos equiparados que, al intervenir en razón de su cargo, influyan, dirijan o condicionen, en cualquier forma, para que se produzca un resultado determinado, lesivo a los intereses patrimoniales de la Hacienda Pública o al interés público, o se utilice cualquier maniobra o artificio tendiente a ese fin.</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62"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58.-</w:t>
            </w:r>
            <w:r>
              <w:rPr>
                <w:b/>
                <w:bCs/>
                <w:color w:val="000000"/>
              </w:rPr>
              <w:t>Fraude de ley en la función administrativa</w:t>
            </w:r>
            <w:r>
              <w:rPr>
                <w:color w:val="000000"/>
              </w:rPr>
              <w:t>. Será penado con prisión de uno a cinco años, el funcionario público que ejerza una función administrativa en fraude de ley, de conformidad con la definición del Artículo 5 de la presente Ley. Igual pena se aplicará al particular que, a sabiendas de la inconformidad del resultado con el ordenamiento jurídico, se vea favorecido o preste su concurso para este delito.</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63"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59.-</w:t>
            </w:r>
            <w:r>
              <w:rPr>
                <w:b/>
                <w:bCs/>
                <w:color w:val="000000"/>
              </w:rPr>
              <w:t>Inhabilitación</w:t>
            </w:r>
            <w:r>
              <w:rPr>
                <w:color w:val="000000"/>
              </w:rPr>
              <w:t>. A quien incurra en los delitos señalados en esta Ley, además de la pena principal se le podrá inhabilitar para el desempeño de empleo, cargo o comisiones públicas que ejerza, incluso los de elección popular, por un período de uno a diez años. Igual pena podrá imponerse a quienes se tengan como coautores o cómplices de este delito.</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64"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60-</w:t>
            </w:r>
            <w:r>
              <w:rPr>
                <w:b/>
                <w:bCs/>
                <w:color w:val="000000"/>
              </w:rPr>
              <w:t>Violación de la privacidad de la información de las declaraciones juradas</w:t>
            </w:r>
            <w:r>
              <w:rPr>
                <w:color w:val="000000"/>
              </w:rPr>
              <w:t>. Será penado con prisión de tres a cinco años, quien divulgue las declaraciones juradas de bienes presentadas ante la Contraloría General de la República.</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65"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61-</w:t>
            </w:r>
            <w:r>
              <w:rPr>
                <w:b/>
                <w:bCs/>
                <w:color w:val="000000"/>
              </w:rPr>
              <w:t>Consecuencias civiles del enriquecimiento ilícito</w:t>
            </w:r>
            <w:r>
              <w:rPr>
                <w:color w:val="000000"/>
              </w:rPr>
              <w:t>. La condena judicial firme por el delito de enriquecimiento ilícito producirá la pérdida, en favor del Estado o de la entidad pública respectiva, de los bienes muebles o inmuebles, valores, dinero o derechos, obtenidos por su autor, su coautor o cómplices, como resultado directo de este delito, salvo derechos de terceros de buena fe, conforme lo determine la respectiva autoridad judicial.</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En el caso de bienes sujetos a inscripción en el Registro Nacional, bastará la orden judicial para que la sección respectiva del Registro proceda a trasladar el bien a las municipalidades de los cantones donde se encuentren ubicados, si se trata de inmuebles, a fin de que puedan ser usados en obras de provecho para el cantón o de beneficencia pública.  Los demás bienes tendrán el destino que se determine en el Reglamento de esta Ley.</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La orden de inscripción o de traspaso estará exenta del pago de timbres y derechos de inscripción.</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66"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62.-</w:t>
            </w:r>
            <w:r>
              <w:rPr>
                <w:b/>
                <w:bCs/>
                <w:color w:val="000000"/>
              </w:rPr>
              <w:t>Prescripción de la responsabilidad penal</w:t>
            </w:r>
            <w:r>
              <w:rPr>
                <w:color w:val="000000"/>
              </w:rPr>
              <w:t>. La acción penal respecto de los delitos contra los deberes de la función pública y los previstos en la presente Ley, prescribirá en la forma establecida por la legislación aplicable; no obstante, regirán las siguientes reglas:</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a) Una vez interrumpida la prescripción, los plazos fijados en el artículo 31 del Código Procesal Penal volverán a correr por un nuevo período, sin reducción alguna.</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 xml:space="preserve">b) Además de las causales previstas en el artículo 33 del Código Procesal Penal, la acción penal podrá interrumpirse por la declaratoria de ilegalidad de la función administrativa, activa u </w:t>
            </w:r>
            <w:proofErr w:type="spellStart"/>
            <w:r>
              <w:rPr>
                <w:color w:val="000000"/>
              </w:rPr>
              <w:t>omisiva</w:t>
            </w:r>
            <w:proofErr w:type="spellEnd"/>
            <w:r>
              <w:rPr>
                <w:color w:val="000000"/>
              </w:rPr>
              <w:t>, o por la anulación de los actos y contratos administrativos que guarden relación con el correspondiente delito, ya sea que el pronunciamiento se produzca en vía judicial o administrativa.</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 </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67"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center"/>
            </w:pPr>
            <w:r>
              <w:rPr>
                <w:b/>
                <w:bCs/>
                <w:color w:val="000000"/>
              </w:rPr>
              <w:t>CAPÍTULO VI</w:t>
            </w:r>
          </w:p>
          <w:p w:rsidR="00967A47" w:rsidRDefault="00967A47" w:rsidP="00967A47">
            <w:pPr>
              <w:spacing w:after="240"/>
              <w:rPr>
                <w:rFonts w:ascii="Times New Roman" w:eastAsia="Times New Roman" w:hAnsi="Times New Roman"/>
                <w:sz w:val="20"/>
                <w:szCs w:val="20"/>
              </w:rPr>
            </w:pPr>
          </w:p>
          <w:p w:rsidR="00967A47" w:rsidRDefault="00967A47" w:rsidP="00967A47">
            <w:pPr>
              <w:jc w:val="center"/>
            </w:pPr>
            <w:r>
              <w:rPr>
                <w:b/>
                <w:bCs/>
                <w:color w:val="000000"/>
              </w:rPr>
              <w:t>Disposiciones finales</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b/>
                <w:bCs/>
                <w:color w:val="000000"/>
              </w:rPr>
              <w:t> </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Artículo 63.-</w:t>
            </w:r>
            <w:r>
              <w:rPr>
                <w:b/>
                <w:bCs/>
                <w:color w:val="000000"/>
              </w:rPr>
              <w:t>Reforma de la Ley Orgánica de la Contraloría General de la República</w:t>
            </w:r>
            <w:r>
              <w:rPr>
                <w:color w:val="000000"/>
              </w:rPr>
              <w:t xml:space="preserve">. </w:t>
            </w:r>
            <w:proofErr w:type="spellStart"/>
            <w:r>
              <w:rPr>
                <w:color w:val="000000"/>
              </w:rPr>
              <w:t>Refórmase</w:t>
            </w:r>
            <w:proofErr w:type="spellEnd"/>
            <w:r>
              <w:rPr>
                <w:color w:val="000000"/>
              </w:rPr>
              <w:t xml:space="preserve"> el artículo 73 de la Ley Orgánica de la Contraloría General de la República, cuyo texto dirá:</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 xml:space="preserve"> "Artículo 73-</w:t>
            </w:r>
            <w:r>
              <w:rPr>
                <w:b/>
                <w:bCs/>
                <w:color w:val="000000"/>
              </w:rPr>
              <w:t>Cancelación de credencial</w:t>
            </w:r>
            <w:r>
              <w:rPr>
                <w:color w:val="000000"/>
              </w:rPr>
              <w:t xml:space="preserve">. Será causa para la cancelación de la respectiva credencial, la comisión de una falta grave por parte de un regidor o síndico, propietario o suplente, contra las normas del ordenamiento de fiscalización y control de la Hacienda Pública contemplado en esta Ley, y contra cualesquiera otras normas relativas a los fondos públicos; o al incurrir en alguno de los actos previstos en la Ley contra la corrupción y el enriquecimiento ilícito en la función pública, como generadoras de responsabilidad administrativa. Esto se aplicará cuando el infractor haya actuado en el ejercicio de su cargo o con motivo de él.  </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Cuando la falta grave sea cometida en virtud de un acuerdo del concejo municipal, los regidores que, con su voto afirmativo, hayan aprobado dicho acuerdo, incurrirán en la misma causal de cancelación de sus credenciales.</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Asimismo, será causal de cancelación de la credencial de regidor o de síndico, propietario o suplente, la condena penal firme por delitos contra la propiedad, contra la buena fe en los negocios y contra los deberes de la función pública, así como por los previstos en la Ley contra la corrupción y el enriquecimiento ilícito en la función pública. La autoridad judicial competente efectuará, de oficio, la comunicación respectiva al Tribunal Supremo de Elecciones".</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68"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64.-</w:t>
            </w:r>
            <w:r>
              <w:rPr>
                <w:b/>
                <w:bCs/>
                <w:color w:val="000000"/>
              </w:rPr>
              <w:t>Reformas del Código Penal</w:t>
            </w:r>
            <w:r>
              <w:rPr>
                <w:color w:val="000000"/>
              </w:rPr>
              <w:t xml:space="preserve">. </w:t>
            </w:r>
            <w:proofErr w:type="spellStart"/>
            <w:r>
              <w:rPr>
                <w:color w:val="000000"/>
              </w:rPr>
              <w:t>Refórmanse</w:t>
            </w:r>
            <w:proofErr w:type="spellEnd"/>
            <w:r>
              <w:rPr>
                <w:color w:val="000000"/>
              </w:rPr>
              <w:t xml:space="preserve"> los artículos 345, 354 y 356 del Código Penal, cuyos textos dirán:</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 </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 xml:space="preserve"> "Artículo 345.-</w:t>
            </w:r>
            <w:r>
              <w:rPr>
                <w:b/>
                <w:bCs/>
                <w:color w:val="000000"/>
              </w:rPr>
              <w:t>Penalidad del corruptor</w:t>
            </w:r>
            <w:r>
              <w:rPr>
                <w:color w:val="000000"/>
              </w:rPr>
              <w:t>. Las penas establecidas en los cinco artículos anteriores serán aplicables al que dé o prometa al funcionario público una dádiva o la ventaja indebida".</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 </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 xml:space="preserve"> "Artículo 354.-</w:t>
            </w:r>
            <w:r>
              <w:rPr>
                <w:b/>
                <w:bCs/>
                <w:color w:val="000000"/>
              </w:rPr>
              <w:t>Peculado</w:t>
            </w:r>
            <w:r>
              <w:rPr>
                <w:color w:val="000000"/>
              </w:rPr>
              <w:t>. Será reprimido con prisión de tres a doce años, el funcionario público que sustraiga o distraiga dinero o bienes cuya administración, percepción o custodia le haya sido confiada en razón de su cargo; asimismo, con prisión de tres meses a dos años, el funcionario público que emplee, en provecho propio o de terceros, trabajos o servicios pagados por la Administración Pública o bienes propiedad de ella.</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Esta disposición también será aplicable a los particulares y a los gerentes, administradores o apoderados de las organizaciones privadas, beneficiarios, subvencionados, donatarios o concesionarios, en cuanto a los bienes, servicios y fondos públicos que exploten, custodien, administren o posean por cualquier título o modalidad de gestión".</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 </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"Artículo 356.-</w:t>
            </w:r>
            <w:r>
              <w:rPr>
                <w:b/>
                <w:bCs/>
                <w:color w:val="000000"/>
              </w:rPr>
              <w:t>Malversación</w:t>
            </w:r>
            <w:r>
              <w:rPr>
                <w:color w:val="000000"/>
              </w:rPr>
              <w:t>. Serán reprimidos con prisión de uno a ocho años, el funcionario público, los particulares y los gerentes, administradores o apoderados de las personas jurídicas privadas, beneficiarios, subvencionados, donatarios o concesionarios que den a los caudales, bienes, servicios o fondos que administren, custodien o exploten por cualquier título o modalidad de gestión, una aplicación diferente de aquella a la que estén destinados. Si de ello resulta daño o entorpecimiento del servicio, la pena se aumentará en un tercio".</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69"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65.-</w:t>
            </w:r>
            <w:r>
              <w:rPr>
                <w:b/>
                <w:bCs/>
                <w:color w:val="000000"/>
              </w:rPr>
              <w:t>Modificaciones de la Ley de la Contratación Administrativa</w:t>
            </w:r>
            <w:r>
              <w:rPr>
                <w:color w:val="000000"/>
              </w:rPr>
              <w:t xml:space="preserve">. </w:t>
            </w:r>
            <w:proofErr w:type="spellStart"/>
            <w:r>
              <w:rPr>
                <w:color w:val="000000"/>
              </w:rPr>
              <w:t>Refórmanse</w:t>
            </w:r>
            <w:proofErr w:type="spellEnd"/>
            <w:r>
              <w:rPr>
                <w:color w:val="000000"/>
              </w:rPr>
              <w:t xml:space="preserve"> los artículos 22, 23, 24 y 25 de la Ley de la Contratación Administrativa, Nº 7494, de 2 de mayo de 1995; además, se le adicionan los artículos 22 bis y 97 bis. Los textos dirán:</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 </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"Artículo 22.-</w:t>
            </w:r>
            <w:r>
              <w:rPr>
                <w:b/>
                <w:bCs/>
                <w:color w:val="000000"/>
              </w:rPr>
              <w:t>Ámbito de aplicación</w:t>
            </w:r>
            <w:r>
              <w:rPr>
                <w:color w:val="000000"/>
              </w:rPr>
              <w:t>. La prohibición para contratar con la Administración se extiende a la participación en los procedimientos de contratación y a la fase de ejecución del respectivo contrato.</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Existirá prohibición sobreviniente, cuando la causal respectiva se produzca después de iniciado el procedimiento de contratación y antes del acto de adjudicación. En tal caso, la oferta afectada por la prohibición no podrá ser adjudicada; se liberará al oferente de todo compromiso con la Administración y se le devolverá la respectiva garantía de participación.</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 xml:space="preserve">Cuando la prohibición sobrevenga sobre un contratista favorecido con una adjudicación en firme, la entidad deberá velar con especial diligencia porque se ejecute bajo las condiciones pactadas, sin que puedan existir en su favor tratos distintos de los dados a otros contratistas en iguales condiciones.  </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El funcionario sujeto a la respectiva prohibición deberá abstenerse de participar, opinar o influir, en cualquier forma, en la ejecución del contrato.</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El incumplimiento de esta obligación se reputará como falta grave en la prestación del servicio.</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 xml:space="preserve">Existirá participación directa del funcionario cuando, por la índole de sus atribuciones, tenga la facultad jurídica de decidir, deliberar, opinar, asesorar o participar de cualquier otra forma en el proceso de selección y adjudicación de las ofertas, o en la etapa de fiscalización posterior, en la ejecución del contrato.  </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La participación indirecta existirá cuando por interpósita persona, física o jurídica, se pretenda eludir el alcance de esta prohibición. Para demostrar ambas formas de participación se admitirá toda clase de prueba.</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 </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Artículo 22 bis.-</w:t>
            </w:r>
            <w:r>
              <w:rPr>
                <w:b/>
                <w:bCs/>
                <w:color w:val="000000"/>
              </w:rPr>
              <w:t>Alcance de la prohibición</w:t>
            </w:r>
            <w:r>
              <w:rPr>
                <w:color w:val="000000"/>
              </w:rPr>
              <w:t>. En los procedimientos de contratación administrativa que promuevan las instituciones sometidas a esta Ley, tendrán prohibido participar como oferentes, en forma directa o indirecta, las siguientes personas:</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 xml:space="preserve">a) El presidente y los vicepresidentes de la República, los ministros y los viceministros, los diputados a la Asamblea Legislativa, los magistrados propietarios de la Corte Suprema de Justicia y los del Tribunal Supremo de Elecciones, el contralor y el </w:t>
            </w:r>
            <w:proofErr w:type="spellStart"/>
            <w:r>
              <w:rPr>
                <w:color w:val="000000"/>
              </w:rPr>
              <w:t>subcontralor</w:t>
            </w:r>
            <w:proofErr w:type="spellEnd"/>
            <w:r>
              <w:rPr>
                <w:color w:val="000000"/>
              </w:rPr>
              <w:t xml:space="preserve"> generales de la República, el procurador general y el procurador general adjunto de la República, el defensor y el defensor adjunto de los habitantes, el tesorero y el subtesorero nacionales, así como el proveedor y el </w:t>
            </w:r>
            <w:proofErr w:type="spellStart"/>
            <w:r>
              <w:rPr>
                <w:color w:val="000000"/>
              </w:rPr>
              <w:t>subproveedor</w:t>
            </w:r>
            <w:proofErr w:type="spellEnd"/>
            <w:r>
              <w:rPr>
                <w:color w:val="000000"/>
              </w:rPr>
              <w:t xml:space="preserve"> nacionales.  En los casos de puestos de elección popular, la prohibición comenzará a surtir efectos desde que el Tribunal Supremo de Elecciones declare oficialmente el resultado de las elecciones.</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b) Con la propia entidad en la cual sirven, los miembros de junta directiva, los presidentes ejecutivos, los gerentes y los subgerentes, tanto de las instituciones descentralizadas como de las empresas públicas, los regidores propietarios y el alcalde municipal.</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c) Los funcionarios de las proveedurías y de las asesorías legales, respecto de la entidad en la cual prestan sus servicios.</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d) Los funcionarios públicos con influencia o poder de decisión, en cualquier etapa del procedimiento de contratación administrativa, incluso en su fiscalización posterior, en la etapa de ejecución o de construcción.</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 xml:space="preserve">Se entiende que existe injerencia o poder de decisión, cuando el funcionario respectivo, por la clase de funciones que desempeña o por el rango o jerarquía del puesto que sirve, pueda participar en la toma de decisiones o influir en ellas de cualquier manera.  Este supuesto abarca a quienes deben rendir dictámenes o informes técnicos, preparar o tramitar alguna de las fases del procedimiento de contratación, o fiscalizar la fase de ejecución.  </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Cuando exista duda de si el puesto desempeñado está afectado por injerencia o poder de decisión, antes de participar en el procedimiento de contratación administrativa, el interesado hará la consulta a la Contraloría General de la República y le remitirá todas las pruebas y la información del caso, según se disponga en el Reglamento de esta Ley.</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e) Quienes funjan como asesores de cualquiera de los funcionarios afectados por prohibición, sean estos internos o externos, a título personal o sin ninguna clase de remuneración, respecto de la entidad para la cual presta sus servicios dicho funcionario.</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f) Las personas jurídicas en cuyo capital social participe alguno de los funcionarios mencionados en los incisos anteriores, o quienes ejerzan puestos directivos o de representación.  Para que la venta o cesión de la participación social respectiva pueda desafectar a la respectiva firma, deberá haber sido hecha al menos con seis meses de anticipación al nombramiento del funcionario respectivo y deberá tener fecha cierta por cualquiera de los medios que la legislación procesal civil permite. Toda venta o cesión posterior a esa fecha no desafectará a la persona jurídica de la prohibición para contratar, mientras dure el nombramiento que la origina.</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g) Las personas jurídicas sin fines de lucro, tales como asociaciones, fundaciones y cooperativas, en las cuales las personas sujetas a prohibición figuren como directivos, fundadores, representantes, asesores o cualquier otro puesto con capacidad de decisión.</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h) El cónyuge, el compañero o la compañera en la unión de hecho, de los funcionarios cubiertos por la prohibición, así como sus parientes por consanguinidad o afinidad hasta el tercer grado inclusive.</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i) Las personas jurídicas en las cuales el cónyuge, el compañero, la compañera o los parientes indicados en el inciso anterior, sean titulares de más de un veinticinco por ciento (25%) del capital social o ejerzan algún puesto de dirección o representación.</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j) Las personas físicas o jurídicas que hayan intervenido como asesoras en cualquier etapa del procedimiento de contratación, hayan participado en la elaboración de las especificaciones, los diseños y los planos respectivos, o deban participar en su fiscalización posterior, en la etapa de ejecución o construcción.  Esta prohibición no se aplicará en los supuestos en que se liciten conjuntamente el diseño y la construcción de la obra, las variantes alternativas respecto de las especificaciones o los planos suministrados por la Administración.</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Las personas y organizaciones sujetas a una prohibición, mantendrán el impedimento hasta cumplidos seis meses desde el cese del motivo que le dio origen.</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De las prohibiciones anteriores se exceptúan los siguientes casos:</w:t>
            </w:r>
          </w:p>
          <w:p w:rsidR="00967A47" w:rsidRDefault="00967A47" w:rsidP="00967A47">
            <w:pPr>
              <w:spacing w:after="240"/>
              <w:rPr>
                <w:rFonts w:ascii="Times New Roman" w:eastAsia="Times New Roman" w:hAnsi="Times New Roman"/>
                <w:sz w:val="20"/>
                <w:szCs w:val="20"/>
              </w:rPr>
            </w:pPr>
          </w:p>
          <w:p w:rsidR="00967A47" w:rsidRDefault="00967A47" w:rsidP="00967A47">
            <w:pPr>
              <w:ind w:left="1440"/>
              <w:jc w:val="both"/>
            </w:pPr>
            <w:r>
              <w:rPr>
                <w:color w:val="000000"/>
              </w:rPr>
              <w:t>1. Que se trate de un proveedor único.</w:t>
            </w:r>
          </w:p>
          <w:p w:rsidR="00967A47" w:rsidRDefault="00967A47" w:rsidP="00967A47">
            <w:pPr>
              <w:spacing w:after="240"/>
              <w:rPr>
                <w:rFonts w:ascii="Times New Roman" w:eastAsia="Times New Roman" w:hAnsi="Times New Roman"/>
                <w:sz w:val="20"/>
                <w:szCs w:val="20"/>
              </w:rPr>
            </w:pPr>
          </w:p>
          <w:p w:rsidR="00967A47" w:rsidRDefault="00967A47" w:rsidP="00967A47">
            <w:pPr>
              <w:ind w:left="1440"/>
              <w:jc w:val="both"/>
            </w:pPr>
            <w:r>
              <w:rPr>
                <w:color w:val="000000"/>
              </w:rPr>
              <w:t>2. Que se trate de la actividad ordinaria del ente.</w:t>
            </w:r>
          </w:p>
          <w:p w:rsidR="00967A47" w:rsidRDefault="00967A47" w:rsidP="00967A47">
            <w:pPr>
              <w:spacing w:after="240"/>
              <w:rPr>
                <w:rFonts w:ascii="Times New Roman" w:eastAsia="Times New Roman" w:hAnsi="Times New Roman"/>
                <w:sz w:val="20"/>
                <w:szCs w:val="20"/>
              </w:rPr>
            </w:pPr>
          </w:p>
          <w:p w:rsidR="00967A47" w:rsidRDefault="00967A47" w:rsidP="00967A47">
            <w:pPr>
              <w:ind w:left="1440"/>
              <w:jc w:val="both"/>
            </w:pPr>
            <w:r>
              <w:rPr>
                <w:color w:val="000000"/>
              </w:rPr>
              <w:t>3. Que exista un interés manifiesto de colaborar con la</w:t>
            </w:r>
          </w:p>
          <w:p w:rsidR="00967A47" w:rsidRDefault="00967A47" w:rsidP="00967A47">
            <w:pPr>
              <w:spacing w:after="240"/>
              <w:rPr>
                <w:rFonts w:ascii="Times New Roman" w:eastAsia="Times New Roman" w:hAnsi="Times New Roman"/>
                <w:sz w:val="20"/>
                <w:szCs w:val="20"/>
              </w:rPr>
            </w:pPr>
          </w:p>
          <w:p w:rsidR="00967A47" w:rsidRDefault="00967A47" w:rsidP="00967A47">
            <w:pPr>
              <w:ind w:left="1440"/>
              <w:jc w:val="both"/>
            </w:pPr>
            <w:r>
              <w:rPr>
                <w:color w:val="000000"/>
              </w:rPr>
              <w:t>Administración.</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 </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Artículo 23.-</w:t>
            </w:r>
            <w:r>
              <w:rPr>
                <w:b/>
                <w:bCs/>
                <w:color w:val="000000"/>
              </w:rPr>
              <w:t>Levantamiento de la incompatibilidad</w:t>
            </w:r>
            <w:r>
              <w:rPr>
                <w:color w:val="000000"/>
              </w:rPr>
              <w:t>. La prohibición expresada en los incisos h) e i) del artículo anterior, podrá levantarse en los siguientes casos:</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a) Cuando se demuestre que la actividad comercial desplegada se ha ejercido por lo menos un año antes del nombramiento del funcionario que origina la prohibición.</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b) En el caso de directivos o representantes de una persona jurídica, cuando demuestren que ocupan el puesto respectivo, por lo menos un año antes del nombramiento del funcionario que origina la prohibición.</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c) Cuando hayan transcurrido al menos seis meses desde que la participación social del pariente afectado fue cedida o traspasada, o de que este renunció al puesto o cargo de representación.  Mediante el trámite que se indicará reglamentariamente, la Contraloría General de la República acordará levantar la incompatibilidad.</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 </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Artículo 24.-</w:t>
            </w:r>
            <w:r>
              <w:rPr>
                <w:b/>
                <w:bCs/>
                <w:color w:val="000000"/>
              </w:rPr>
              <w:t>Prohibición de influencias</w:t>
            </w:r>
            <w:r>
              <w:rPr>
                <w:color w:val="000000"/>
              </w:rPr>
              <w:t>. A las personas cubiertas por el régimen de prohibiciones se les prohíbe intervenir, directa o indirectamente, ante los funcionarios responsables de las etapas del procedimiento de selección del contratista, ejecución o fiscalización del contrato, en favor propio o de terceros.</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 </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Artículo 25.-</w:t>
            </w:r>
            <w:r>
              <w:rPr>
                <w:b/>
                <w:bCs/>
                <w:color w:val="000000"/>
              </w:rPr>
              <w:t>Efectos del incumplimiento</w:t>
            </w:r>
            <w:r>
              <w:rPr>
                <w:color w:val="000000"/>
              </w:rPr>
              <w:t>. La violación del régimen de prohibiciones establecido en este capítulo, originará la nulidad absoluta del acto de adjudicación o del contrato recaídos en favor del inhibido, y podrá acarrear a la parte infractora las sanciones previstas en esta Ley".</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 </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"Artículo 97 bis.-</w:t>
            </w:r>
            <w:r>
              <w:rPr>
                <w:b/>
                <w:bCs/>
                <w:color w:val="000000"/>
              </w:rPr>
              <w:t>Exclusión del oferente</w:t>
            </w:r>
            <w:r>
              <w:rPr>
                <w:color w:val="000000"/>
              </w:rPr>
              <w:t>. Si las faltas referidas en los Artículos 96 ter y 97, se producen cuando se encuentra en trámite un procedimiento de contratación, el oferente que con su participación haya contribuido en esas infracciones, directa o indirectamente, será excluido del concurso o, en su caso, se anulará la adjudicación respectiva, independientemente de si existió favorecimiento".</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70"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66.-</w:t>
            </w:r>
            <w:r>
              <w:rPr>
                <w:b/>
                <w:bCs/>
                <w:color w:val="000000"/>
              </w:rPr>
              <w:t>Reforma del Código Municipal</w:t>
            </w:r>
            <w:r>
              <w:rPr>
                <w:color w:val="000000"/>
              </w:rPr>
              <w:t xml:space="preserve">. </w:t>
            </w:r>
            <w:proofErr w:type="spellStart"/>
            <w:r>
              <w:rPr>
                <w:color w:val="000000"/>
              </w:rPr>
              <w:t>Refórmase</w:t>
            </w:r>
            <w:proofErr w:type="spellEnd"/>
            <w:r>
              <w:rPr>
                <w:color w:val="000000"/>
              </w:rPr>
              <w:t xml:space="preserve"> el inciso d) del artículo 18 del Código Municipal, cuyo texto dirá:</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 </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"Artículo 18.-</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d) Incurrir en alguna de las causales previstas en el artículo 73 de la Ley Orgánica de la Contraloría General de la República.</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 </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71"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67-</w:t>
            </w:r>
            <w:r>
              <w:rPr>
                <w:b/>
                <w:bCs/>
                <w:color w:val="000000"/>
              </w:rPr>
              <w:t>Adición a la Ley Orgánica del Banco Central</w:t>
            </w:r>
            <w:r>
              <w:rPr>
                <w:color w:val="000000"/>
              </w:rPr>
              <w:t>.</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proofErr w:type="spellStart"/>
            <w:r>
              <w:rPr>
                <w:color w:val="000000"/>
              </w:rPr>
              <w:t>Adiciónase</w:t>
            </w:r>
            <w:proofErr w:type="spellEnd"/>
            <w:r>
              <w:rPr>
                <w:color w:val="000000"/>
              </w:rPr>
              <w:t xml:space="preserve"> al artículo 132 de la Ley Orgánica del Banco Central de Costa Rica, Nº 7558, de 3 de noviembre de 1995, el inciso e), cuyo texto dirá:</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 </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"Artículo 132.-</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e) La información que requiera la Contraloría General de la República en ejercicio de sus atribuciones".</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 </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72"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68.-</w:t>
            </w:r>
            <w:r>
              <w:rPr>
                <w:b/>
                <w:bCs/>
                <w:color w:val="000000"/>
              </w:rPr>
              <w:t>Reformas de la Ley N° 3667</w:t>
            </w:r>
            <w:r>
              <w:rPr>
                <w:color w:val="000000"/>
              </w:rPr>
              <w:t xml:space="preserve">. </w:t>
            </w:r>
            <w:proofErr w:type="spellStart"/>
            <w:r>
              <w:rPr>
                <w:color w:val="000000"/>
              </w:rPr>
              <w:t>Refórmanse</w:t>
            </w:r>
            <w:proofErr w:type="spellEnd"/>
            <w:r>
              <w:rPr>
                <w:color w:val="000000"/>
              </w:rPr>
              <w:t xml:space="preserve"> los artículos 10 y 35 de la Ley Reguladora de la Jurisdicción Contencioso Administrativa, N° 3667, de 12 de marzo de 1966, y sus reformas. Los textos dirán:</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 </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"Artículo 10.-</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1. Podrán demandar la declaración de ilegalidad y, en su caso, la anulación de los actos y las disposiciones de la Administración Pública:</w:t>
            </w:r>
          </w:p>
          <w:p w:rsidR="00967A47" w:rsidRDefault="00967A47" w:rsidP="00967A47">
            <w:pPr>
              <w:spacing w:after="240"/>
              <w:rPr>
                <w:rFonts w:ascii="Times New Roman" w:eastAsia="Times New Roman" w:hAnsi="Times New Roman"/>
                <w:sz w:val="20"/>
                <w:szCs w:val="20"/>
              </w:rPr>
            </w:pPr>
          </w:p>
          <w:p w:rsidR="00967A47" w:rsidRDefault="00967A47" w:rsidP="00967A47">
            <w:pPr>
              <w:ind w:left="1440"/>
              <w:jc w:val="both"/>
            </w:pPr>
            <w:r>
              <w:rPr>
                <w:color w:val="000000"/>
              </w:rPr>
              <w:t>a) Quienes tengan interés legítimo y directo en ello.</w:t>
            </w:r>
          </w:p>
          <w:p w:rsidR="00967A47" w:rsidRDefault="00967A47" w:rsidP="00967A47">
            <w:pPr>
              <w:spacing w:after="240"/>
              <w:rPr>
                <w:rFonts w:ascii="Times New Roman" w:eastAsia="Times New Roman" w:hAnsi="Times New Roman"/>
                <w:sz w:val="20"/>
                <w:szCs w:val="20"/>
              </w:rPr>
            </w:pPr>
          </w:p>
          <w:p w:rsidR="00967A47" w:rsidRDefault="00967A47" w:rsidP="00967A47">
            <w:pPr>
              <w:ind w:left="1440"/>
              <w:jc w:val="both"/>
            </w:pPr>
            <w:r>
              <w:rPr>
                <w:color w:val="000000"/>
              </w:rPr>
              <w:t>b) Las entidades, corporaciones e instituciones de derecho público, así como cuantas entidades ostenten la representación y la defensa de intereses de carácter general o corporativo, cuando el juicio tenga por objeto la impugnación directa de disposiciones de carácter general de la Administración central o descentralizada, que les afecten directamente, salvo lo previsto en el inciso siguiente.</w:t>
            </w:r>
          </w:p>
          <w:p w:rsidR="00967A47" w:rsidRDefault="00967A47" w:rsidP="00967A47">
            <w:pPr>
              <w:spacing w:after="240"/>
              <w:rPr>
                <w:rFonts w:ascii="Times New Roman" w:eastAsia="Times New Roman" w:hAnsi="Times New Roman"/>
                <w:sz w:val="20"/>
                <w:szCs w:val="20"/>
              </w:rPr>
            </w:pPr>
          </w:p>
          <w:p w:rsidR="00967A47" w:rsidRDefault="00967A47" w:rsidP="00967A47">
            <w:pPr>
              <w:ind w:left="1440"/>
              <w:jc w:val="both"/>
            </w:pPr>
            <w:r>
              <w:rPr>
                <w:color w:val="000000"/>
              </w:rPr>
              <w:t>c) La Contraloría General de la República, cuando se trate de actos que ocasionen un grave perjuicio para la Hacienda Pública y la Administración no proceda a hacerlo de conformidad con lo establecido en el inciso 4) de este artículo.</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2. No obstante, las disposiciones de carácter general que deban ser cumplidas directamente por los administrados, sin necesidad de un previo acto de requerimiento o sujeción individual, podrán ser impugnadas por las personas indicadas en el inciso a) del párrafo anterior.</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3. Si se pretende, además, el reconocimiento de una situación jurídica individualizada y su restablecimiento, con reparación patrimonial o sin ella, únicamente podrá promover la acción el titular de un derecho subjetivo derivado del ordenamiento que se considere infringido por el acto o la disposición impugnados.</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4. La Administración podrá actuar contra un acto propio, firme y creador de algún derecho subjetivo, cuando el órgano superior de la jerarquía administrativa que lo dictó, haya declarado, en resolución fundada, que es lesivo a los intereses públicos que ella representa. Asimismo, cuando se trate de actos o contratos relacionados con la Hacienda Pública y, a pesar de contar con dictamen de la Contraloría General de la República que recomiende la declaratoria de nulidad de estos por ser lesivos para las finanzas públicas, la Administración competente omita efectuar dicha declaratoria en el plazo de un mes, el órgano contralor quedará facultado para accionar en contra de dicho acto.</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5. No podrán interponer juicio contencioso-administrativo, en relación con los actos y las disposiciones de una entidad pública:</w:t>
            </w:r>
          </w:p>
          <w:p w:rsidR="00967A47" w:rsidRDefault="00967A47" w:rsidP="00967A47">
            <w:pPr>
              <w:spacing w:after="240"/>
              <w:rPr>
                <w:rFonts w:ascii="Times New Roman" w:eastAsia="Times New Roman" w:hAnsi="Times New Roman"/>
                <w:sz w:val="20"/>
                <w:szCs w:val="20"/>
              </w:rPr>
            </w:pPr>
          </w:p>
          <w:p w:rsidR="00967A47" w:rsidRDefault="00967A47" w:rsidP="00967A47">
            <w:pPr>
              <w:ind w:left="1440"/>
              <w:jc w:val="both"/>
            </w:pPr>
            <w:r>
              <w:rPr>
                <w:color w:val="000000"/>
              </w:rPr>
              <w:t>a) Los órganos de la entidad de que se trate.</w:t>
            </w:r>
          </w:p>
          <w:p w:rsidR="00967A47" w:rsidRDefault="00967A47" w:rsidP="00967A47">
            <w:pPr>
              <w:spacing w:after="240"/>
              <w:rPr>
                <w:rFonts w:ascii="Times New Roman" w:eastAsia="Times New Roman" w:hAnsi="Times New Roman"/>
                <w:sz w:val="20"/>
                <w:szCs w:val="20"/>
              </w:rPr>
            </w:pPr>
          </w:p>
          <w:p w:rsidR="00967A47" w:rsidRDefault="00967A47" w:rsidP="00967A47">
            <w:pPr>
              <w:ind w:left="1440"/>
              <w:jc w:val="both"/>
            </w:pPr>
            <w:r>
              <w:rPr>
                <w:color w:val="000000"/>
              </w:rPr>
              <w:t>b) Los particulares, cuando actúen por delegación o como simples agentes o mandatarios de esa entidad".</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 </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"Artículo 35.-</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1. Cuando la propia Administración, autora de algún acto declarativo de derechos, pretenda demandar su anulación, ante la jurisdicción contencioso-administrativa, previamente deberá declararlo lesivo a los intereses públicos, económicos o de otra naturaleza, en el plazo de cuatro años contados a partir de la fecha en que haya sido dictado.</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2. Los actos dictados por un departamento ministerial no podrán ser declarados lesivos por un ministro de un ramo distinto, pero sí por el Consejo de Gobierno, previa consulta a la Procuraduría General de la República o a la Contraloría General de la República, según corresponda.</w:t>
            </w:r>
          </w:p>
          <w:p w:rsidR="00967A47" w:rsidRDefault="00967A47" w:rsidP="00967A47">
            <w:pPr>
              <w:spacing w:after="240"/>
              <w:rPr>
                <w:rFonts w:ascii="Times New Roman" w:eastAsia="Times New Roman" w:hAnsi="Times New Roman"/>
                <w:sz w:val="20"/>
                <w:szCs w:val="20"/>
              </w:rPr>
            </w:pPr>
          </w:p>
          <w:p w:rsidR="00967A47" w:rsidRDefault="00967A47" w:rsidP="00967A47">
            <w:pPr>
              <w:ind w:left="720"/>
              <w:jc w:val="both"/>
            </w:pPr>
            <w:r>
              <w:rPr>
                <w:color w:val="000000"/>
              </w:rPr>
              <w:t> </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73"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69.-</w:t>
            </w:r>
            <w:r>
              <w:rPr>
                <w:b/>
                <w:bCs/>
                <w:color w:val="000000"/>
              </w:rPr>
              <w:t>Derogación del inciso 4) del artículo 346 del Código Penal</w:t>
            </w:r>
            <w:r>
              <w:rPr>
                <w:color w:val="000000"/>
              </w:rPr>
              <w:t xml:space="preserve">. </w:t>
            </w:r>
            <w:proofErr w:type="spellStart"/>
            <w:r>
              <w:rPr>
                <w:color w:val="000000"/>
              </w:rPr>
              <w:t>Derógase</w:t>
            </w:r>
            <w:proofErr w:type="spellEnd"/>
            <w:r>
              <w:rPr>
                <w:color w:val="000000"/>
              </w:rPr>
              <w:t xml:space="preserve"> el inciso 4) del artículo 346 del Código Penal.</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color w:val="000000"/>
              </w:rPr>
              <w:t> </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74"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70.-</w:t>
            </w:r>
            <w:r>
              <w:rPr>
                <w:b/>
                <w:bCs/>
                <w:color w:val="000000"/>
              </w:rPr>
              <w:t>Derogación de la Ley Nº 6872</w:t>
            </w:r>
            <w:r>
              <w:rPr>
                <w:color w:val="000000"/>
              </w:rPr>
              <w:t xml:space="preserve">. </w:t>
            </w:r>
            <w:proofErr w:type="spellStart"/>
            <w:r>
              <w:rPr>
                <w:color w:val="000000"/>
              </w:rPr>
              <w:t>Derógase</w:t>
            </w:r>
            <w:proofErr w:type="spellEnd"/>
            <w:r>
              <w:rPr>
                <w:color w:val="000000"/>
              </w:rPr>
              <w:t xml:space="preserve"> la Ley sobre el enriquecimiento ilícito de los servidores públicos, Nº 6872, de 17 de junio de 1983.</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75"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Artículo 71.-</w:t>
            </w:r>
            <w:r>
              <w:rPr>
                <w:b/>
                <w:bCs/>
                <w:color w:val="000000"/>
              </w:rPr>
              <w:t>Reglamentación</w:t>
            </w:r>
            <w:r>
              <w:rPr>
                <w:color w:val="000000"/>
              </w:rPr>
              <w:t>. El Poder Ejecutivo deberá reglamentar la presente Ley, dentro de los seis meses posteriores a su entrada en vigencia. Para la promulgación y reforma del Reglamento deberá procurarse la opinión de la Contraloría General de la República, cuyo proyecto se le remitirá oportunamente, a fin de que formule sus observaciones. La falta de reglamentación no impedirá la aplicación de esta Ley ni su obligatoria observancia, en cuanto sus disposiciones sean suficientes por sí mismas para ello.</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76"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Transitorio I.-Los funcionarios que, de acuerdo con la presente Ley y su Reglamento, estén obligados a declarar su situación patrimonial, no deberán presentar de nuevo una declaración inicial, cuando lo hayan hecho bajo la vigencia de la Ley sobre el enriquecimiento ilícito de los servidores públicos; por ello, las declaraciones mantendrán todo efecto y valor. No obstante, las declaraciones anuales y la final que reste por entregar, se sujetarán a la presente Ley y su Reglamento.</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p>
          <w:p w:rsidR="00967A47" w:rsidRDefault="00967A47" w:rsidP="00967A47">
            <w:r>
              <w:t> </w:t>
            </w:r>
          </w:p>
          <w:p w:rsidR="00967A47" w:rsidRDefault="00967A47" w:rsidP="00967A47">
            <w:pPr>
              <w:spacing w:after="240"/>
              <w:rPr>
                <w:rFonts w:ascii="Times New Roman" w:eastAsia="Times New Roman" w:hAnsi="Times New Roman"/>
                <w:sz w:val="20"/>
                <w:szCs w:val="20"/>
              </w:rPr>
            </w:pPr>
          </w:p>
          <w:p w:rsidR="00967A47" w:rsidRDefault="00967A47" w:rsidP="00967A47">
            <w:pPr>
              <w:spacing w:after="240"/>
              <w:rPr>
                <w:rFonts w:ascii="Times New Roman" w:eastAsia="Times New Roman" w:hAnsi="Times New Roman"/>
                <w:sz w:val="20"/>
                <w:szCs w:val="20"/>
              </w:rPr>
            </w:pPr>
            <w:r>
              <w:rPr>
                <w:rFonts w:ascii="Times New Roman" w:eastAsia="Times New Roman" w:hAnsi="Times New Roman"/>
                <w:sz w:val="20"/>
                <w:szCs w:val="20"/>
              </w:rPr>
              <w:br/>
            </w:r>
            <w:hyperlink r:id="rId77" w:tgtFrame="_top" w:history="1"/>
            <w:r>
              <w:rPr>
                <w:rFonts w:ascii="Times New Roman" w:eastAsia="Times New Roman" w:hAnsi="Times New Roman"/>
                <w:sz w:val="20"/>
                <w:szCs w:val="20"/>
              </w:rPr>
              <w:br/>
            </w:r>
            <w:r>
              <w:rPr>
                <w:rFonts w:ascii="Times New Roman" w:eastAsia="Times New Roman" w:hAnsi="Times New Roman"/>
                <w:sz w:val="20"/>
                <w:szCs w:val="20"/>
              </w:rPr>
              <w:br/>
            </w:r>
          </w:p>
          <w:p w:rsidR="00967A47" w:rsidRDefault="00967A47" w:rsidP="00967A47">
            <w:pPr>
              <w:jc w:val="both"/>
            </w:pPr>
            <w:r>
              <w:rPr>
                <w:color w:val="000000"/>
              </w:rPr>
              <w:t>Transitorio II</w:t>
            </w:r>
            <w:r>
              <w:rPr>
                <w:rStyle w:val="grame"/>
                <w:color w:val="000000"/>
              </w:rPr>
              <w:t>.-</w:t>
            </w:r>
            <w:r>
              <w:rPr>
                <w:color w:val="000000"/>
              </w:rPr>
              <w:t>Las personas que, bajo la vigencia de la Ley sobre el enriquecimiento ilícito de los servidores públicos, no estaban obligadas a declarar sus bienes, pero sí deban hacerlo en virtud de la presente Ley y su Reglamento, contarán con un plazo de cuarenta y cinco días hábiles a partir de publicación del respectivo Reglamento para cumplir tal obligación.</w:t>
            </w:r>
          </w:p>
          <w:p w:rsidR="00967A47" w:rsidRDefault="00967A47" w:rsidP="00967A47">
            <w:pPr>
              <w:spacing w:after="240"/>
              <w:rPr>
                <w:rFonts w:ascii="Times New Roman" w:eastAsia="Times New Roman" w:hAnsi="Times New Roman"/>
                <w:sz w:val="20"/>
                <w:szCs w:val="20"/>
              </w:rPr>
            </w:pPr>
          </w:p>
          <w:p w:rsidR="00967A47" w:rsidRDefault="00967A47" w:rsidP="00967A47">
            <w:pPr>
              <w:spacing w:before="100" w:beforeAutospacing="1" w:after="100" w:afterAutospacing="1"/>
              <w:ind w:firstLine="720"/>
              <w:jc w:val="both"/>
            </w:pPr>
            <w:r>
              <w:rPr>
                <w:color w:val="000000"/>
              </w:rPr>
              <w:t>Rige a partir de su publicación.</w:t>
            </w:r>
          </w:p>
          <w:p w:rsidR="00967A47" w:rsidRDefault="00967A47" w:rsidP="00967A47">
            <w:pPr>
              <w:spacing w:after="240"/>
              <w:rPr>
                <w:rFonts w:ascii="Times New Roman" w:eastAsia="Times New Roman" w:hAnsi="Times New Roman"/>
                <w:sz w:val="20"/>
                <w:szCs w:val="20"/>
              </w:rPr>
            </w:pPr>
          </w:p>
          <w:p w:rsidR="00967A47" w:rsidRDefault="00967A47" w:rsidP="00967A47">
            <w:r>
              <w:rPr>
                <w:lang w:val="es-MX"/>
              </w:rPr>
              <w:tab/>
              <w:t>Dado en la Presidencia de la República.</w:t>
            </w:r>
            <w:r>
              <w:rPr>
                <w:color w:val="000000"/>
              </w:rPr>
              <w:t xml:space="preserve"> -San José, a los seis días del mes de octubre del dos mil cuatro.</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Pr>
                <w:rFonts w:ascii="Tahoma" w:hAnsi="Tahoma" w:cs="Tahoma"/>
              </w:rPr>
              <w:t> </w:t>
            </w:r>
          </w:p>
          <w:p w:rsidR="00967A47" w:rsidRDefault="00967A47" w:rsidP="00967A47">
            <w:pPr>
              <w:spacing w:after="240"/>
              <w:rPr>
                <w:rFonts w:ascii="Times New Roman" w:eastAsia="Times New Roman" w:hAnsi="Times New Roman"/>
                <w:sz w:val="20"/>
                <w:szCs w:val="20"/>
              </w:rPr>
            </w:pPr>
          </w:p>
          <w:p w:rsidR="00967A47" w:rsidRDefault="00967A47" w:rsidP="00967A47">
            <w:pPr>
              <w:jc w:val="both"/>
            </w:pPr>
            <w:r w:rsidRPr="00967A47">
              <w:t> </w:t>
            </w:r>
          </w:p>
          <w:p w:rsidR="00967A47" w:rsidRDefault="00967A47" w:rsidP="00967A47">
            <w:pPr>
              <w:spacing w:after="240"/>
              <w:rPr>
                <w:rFonts w:ascii="Times New Roman" w:eastAsia="Times New Roman" w:hAnsi="Times New Roman"/>
                <w:sz w:val="20"/>
                <w:szCs w:val="20"/>
              </w:rPr>
            </w:pPr>
          </w:p>
          <w:p w:rsidR="00967A47" w:rsidRDefault="00967A47" w:rsidP="00967A47">
            <w:pPr>
              <w:rPr>
                <w:rFonts w:ascii="Times New Roman" w:eastAsia="Times New Roman" w:hAnsi="Times New Roman"/>
                <w:sz w:val="20"/>
                <w:szCs w:val="20"/>
              </w:rPr>
            </w:pPr>
            <w:r>
              <w:rPr>
                <w:rFonts w:ascii="Times New Roman" w:eastAsia="Times New Roman" w:hAnsi="Times New Roman"/>
                <w:sz w:val="20"/>
                <w:szCs w:val="20"/>
              </w:rPr>
              <w:br/>
            </w:r>
            <w:r>
              <w:rPr>
                <w:rFonts w:ascii="Times New Roman" w:eastAsia="Times New Roman" w:hAnsi="Times New Roman"/>
                <w:sz w:val="20"/>
                <w:szCs w:val="20"/>
              </w:rPr>
              <w:br/>
            </w:r>
            <w:r>
              <w:rPr>
                <w:rFonts w:ascii="Times New Roman" w:eastAsia="Times New Roman" w:hAnsi="Times New Roman"/>
                <w:sz w:val="20"/>
                <w:szCs w:val="20"/>
              </w:rPr>
              <w:br/>
            </w:r>
            <w:r>
              <w:rPr>
                <w:rFonts w:ascii="Times New Roman" w:eastAsia="Times New Roman" w:hAnsi="Times New Roman"/>
                <w:sz w:val="20"/>
                <w:szCs w:val="20"/>
              </w:rPr>
              <w:br/>
            </w:r>
            <w:bookmarkStart w:id="1" w:name="down"/>
            <w:bookmarkStart w:id="2" w:name="_GoBack"/>
            <w:bookmarkEnd w:id="1"/>
            <w:bookmarkEnd w:id="2"/>
          </w:p>
        </w:tc>
        <w:tc>
          <w:tcPr>
            <w:tcW w:w="0" w:type="auto"/>
            <w:vAlign w:val="center"/>
            <w:hideMark/>
          </w:tcPr>
          <w:p w:rsidR="00967A47" w:rsidRDefault="00967A47">
            <w:pPr>
              <w:rPr>
                <w:sz w:val="20"/>
                <w:szCs w:val="20"/>
              </w:rPr>
            </w:pPr>
          </w:p>
        </w:tc>
      </w:tr>
      <w:tr w:rsidR="00967A47" w:rsidTr="00967A47">
        <w:trPr>
          <w:trHeight w:val="95"/>
          <w:tblCellSpacing w:w="15" w:type="dxa"/>
        </w:trPr>
        <w:tc>
          <w:tcPr>
            <w:tcW w:w="0" w:type="auto"/>
            <w:vAlign w:val="center"/>
            <w:hideMark/>
          </w:tcPr>
          <w:p w:rsidR="00967A47" w:rsidRDefault="00967A47" w:rsidP="00967A47">
            <w:pPr>
              <w:jc w:val="center"/>
              <w:rPr>
                <w:rFonts w:ascii="Times New Roman" w:eastAsia="Times New Roman" w:hAnsi="Times New Roman"/>
              </w:rPr>
            </w:pPr>
            <w:hyperlink r:id="rId78" w:anchor="up" w:history="1">
              <w:r>
                <w:rPr>
                  <w:rStyle w:val="style5"/>
                  <w:rFonts w:ascii="Times New Roman" w:eastAsia="Times New Roman" w:hAnsi="Times New Roman"/>
                  <w:color w:val="0000FF"/>
                  <w:u w:val="single"/>
                </w:rPr>
                <w:t xml:space="preserve"> </w:t>
              </w:r>
            </w:hyperlink>
          </w:p>
        </w:tc>
        <w:tc>
          <w:tcPr>
            <w:tcW w:w="0" w:type="auto"/>
            <w:vAlign w:val="center"/>
            <w:hideMark/>
          </w:tcPr>
          <w:p w:rsidR="00967A47" w:rsidRDefault="00967A47">
            <w:pPr>
              <w:rPr>
                <w:rFonts w:ascii="Times New Roman" w:eastAsia="Times New Roman" w:hAnsi="Times New Roman"/>
                <w:sz w:val="20"/>
                <w:szCs w:val="20"/>
              </w:rPr>
            </w:pPr>
          </w:p>
        </w:tc>
      </w:tr>
    </w:tbl>
    <w:p w:rsidR="00E15535" w:rsidRDefault="00E15535"/>
    <w:sectPr w:rsidR="00E155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importan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A47"/>
    <w:rsid w:val="00967A47"/>
    <w:rsid w:val="00E1553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A47"/>
    <w:pPr>
      <w:spacing w:after="0" w:line="240" w:lineRule="auto"/>
    </w:pPr>
    <w:rPr>
      <w:rFonts w:ascii="Verdana" w:eastAsia="Verdana" w:hAnsi="Verdana" w:cs="Times New Roman"/>
      <w:sz w:val="24"/>
      <w:szCs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semiHidden/>
    <w:rsid w:val="00967A47"/>
    <w:pPr>
      <w:spacing w:after="0" w:line="240" w:lineRule="auto"/>
    </w:pPr>
    <w:rPr>
      <w:rFonts w:ascii="Verdana" w:eastAsia="Times New Roman" w:hAnsi="Verdana" w:cs="Times New Roman"/>
      <w:sz w:val="20"/>
      <w:szCs w:val="20"/>
      <w:lang w:eastAsia="es-CR"/>
    </w:rPr>
    <w:tblPr>
      <w:tblCellMar>
        <w:top w:w="0" w:type="dxa"/>
        <w:left w:w="108" w:type="dxa"/>
        <w:bottom w:w="0" w:type="dxa"/>
        <w:right w:w="108" w:type="dxa"/>
      </w:tblCellMar>
    </w:tblPr>
  </w:style>
  <w:style w:type="character" w:styleId="Hipervnculo">
    <w:name w:val="Hyperlink"/>
    <w:basedOn w:val="Fuentedeprrafopredeter"/>
    <w:uiPriority w:val="99"/>
    <w:semiHidden/>
    <w:unhideWhenUsed/>
    <w:rsid w:val="00967A47"/>
    <w:rPr>
      <w:color w:val="0000FF"/>
      <w:u w:val="single"/>
    </w:rPr>
  </w:style>
  <w:style w:type="character" w:styleId="Hipervnculovisitado">
    <w:name w:val="FollowedHyperlink"/>
    <w:basedOn w:val="Fuentedeprrafopredeter"/>
    <w:uiPriority w:val="99"/>
    <w:semiHidden/>
    <w:unhideWhenUsed/>
    <w:rsid w:val="00967A47"/>
    <w:rPr>
      <w:color w:val="800080"/>
      <w:u w:val="single"/>
    </w:rPr>
  </w:style>
  <w:style w:type="paragraph" w:styleId="NormalWeb">
    <w:name w:val="Normal (Web)"/>
    <w:basedOn w:val="Normal"/>
    <w:uiPriority w:val="99"/>
    <w:semiHidden/>
    <w:unhideWhenUsed/>
    <w:rsid w:val="00967A47"/>
    <w:pPr>
      <w:spacing w:before="100" w:beforeAutospacing="1" w:after="100" w:afterAutospacing="1"/>
    </w:pPr>
    <w:rPr>
      <w:rFonts w:ascii="Times New Roman" w:eastAsia="Times New Roman" w:hAnsi="Times New Roman"/>
    </w:rPr>
  </w:style>
  <w:style w:type="character" w:customStyle="1" w:styleId="spelle">
    <w:name w:val="spelle"/>
    <w:basedOn w:val="Fuentedeprrafopredeter"/>
    <w:rsid w:val="00967A47"/>
  </w:style>
  <w:style w:type="character" w:styleId="nfasis">
    <w:name w:val="Emphasis"/>
    <w:basedOn w:val="Fuentedeprrafopredeter"/>
    <w:uiPriority w:val="20"/>
    <w:qFormat/>
    <w:rsid w:val="00967A47"/>
    <w:rPr>
      <w:i/>
      <w:iCs/>
    </w:rPr>
  </w:style>
  <w:style w:type="paragraph" w:customStyle="1" w:styleId="default">
    <w:name w:val="default"/>
    <w:basedOn w:val="Normal"/>
    <w:rsid w:val="00967A47"/>
    <w:pPr>
      <w:spacing w:before="100" w:beforeAutospacing="1" w:after="100" w:afterAutospacing="1"/>
    </w:pPr>
    <w:rPr>
      <w:rFonts w:ascii="Times New Roman" w:eastAsia="Times New Roman" w:hAnsi="Times New Roman"/>
    </w:rPr>
  </w:style>
  <w:style w:type="character" w:customStyle="1" w:styleId="grame">
    <w:name w:val="grame"/>
    <w:basedOn w:val="Fuentedeprrafopredeter"/>
    <w:rsid w:val="00967A47"/>
  </w:style>
  <w:style w:type="character" w:customStyle="1" w:styleId="style5">
    <w:name w:val="style5"/>
    <w:basedOn w:val="Fuentedeprrafopredeter"/>
    <w:rsid w:val="00967A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A47"/>
    <w:pPr>
      <w:spacing w:after="0" w:line="240" w:lineRule="auto"/>
    </w:pPr>
    <w:rPr>
      <w:rFonts w:ascii="Verdana" w:eastAsia="Verdana" w:hAnsi="Verdana" w:cs="Times New Roman"/>
      <w:sz w:val="24"/>
      <w:szCs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semiHidden/>
    <w:rsid w:val="00967A47"/>
    <w:pPr>
      <w:spacing w:after="0" w:line="240" w:lineRule="auto"/>
    </w:pPr>
    <w:rPr>
      <w:rFonts w:ascii="Verdana" w:eastAsia="Times New Roman" w:hAnsi="Verdana" w:cs="Times New Roman"/>
      <w:sz w:val="20"/>
      <w:szCs w:val="20"/>
      <w:lang w:eastAsia="es-CR"/>
    </w:rPr>
    <w:tblPr>
      <w:tblCellMar>
        <w:top w:w="0" w:type="dxa"/>
        <w:left w:w="108" w:type="dxa"/>
        <w:bottom w:w="0" w:type="dxa"/>
        <w:right w:w="108" w:type="dxa"/>
      </w:tblCellMar>
    </w:tblPr>
  </w:style>
  <w:style w:type="character" w:styleId="Hipervnculo">
    <w:name w:val="Hyperlink"/>
    <w:basedOn w:val="Fuentedeprrafopredeter"/>
    <w:uiPriority w:val="99"/>
    <w:semiHidden/>
    <w:unhideWhenUsed/>
    <w:rsid w:val="00967A47"/>
    <w:rPr>
      <w:color w:val="0000FF"/>
      <w:u w:val="single"/>
    </w:rPr>
  </w:style>
  <w:style w:type="character" w:styleId="Hipervnculovisitado">
    <w:name w:val="FollowedHyperlink"/>
    <w:basedOn w:val="Fuentedeprrafopredeter"/>
    <w:uiPriority w:val="99"/>
    <w:semiHidden/>
    <w:unhideWhenUsed/>
    <w:rsid w:val="00967A47"/>
    <w:rPr>
      <w:color w:val="800080"/>
      <w:u w:val="single"/>
    </w:rPr>
  </w:style>
  <w:style w:type="paragraph" w:styleId="NormalWeb">
    <w:name w:val="Normal (Web)"/>
    <w:basedOn w:val="Normal"/>
    <w:uiPriority w:val="99"/>
    <w:semiHidden/>
    <w:unhideWhenUsed/>
    <w:rsid w:val="00967A47"/>
    <w:pPr>
      <w:spacing w:before="100" w:beforeAutospacing="1" w:after="100" w:afterAutospacing="1"/>
    </w:pPr>
    <w:rPr>
      <w:rFonts w:ascii="Times New Roman" w:eastAsia="Times New Roman" w:hAnsi="Times New Roman"/>
    </w:rPr>
  </w:style>
  <w:style w:type="character" w:customStyle="1" w:styleId="spelle">
    <w:name w:val="spelle"/>
    <w:basedOn w:val="Fuentedeprrafopredeter"/>
    <w:rsid w:val="00967A47"/>
  </w:style>
  <w:style w:type="character" w:styleId="nfasis">
    <w:name w:val="Emphasis"/>
    <w:basedOn w:val="Fuentedeprrafopredeter"/>
    <w:uiPriority w:val="20"/>
    <w:qFormat/>
    <w:rsid w:val="00967A47"/>
    <w:rPr>
      <w:i/>
      <w:iCs/>
    </w:rPr>
  </w:style>
  <w:style w:type="paragraph" w:customStyle="1" w:styleId="default">
    <w:name w:val="default"/>
    <w:basedOn w:val="Normal"/>
    <w:rsid w:val="00967A47"/>
    <w:pPr>
      <w:spacing w:before="100" w:beforeAutospacing="1" w:after="100" w:afterAutospacing="1"/>
    </w:pPr>
    <w:rPr>
      <w:rFonts w:ascii="Times New Roman" w:eastAsia="Times New Roman" w:hAnsi="Times New Roman"/>
    </w:rPr>
  </w:style>
  <w:style w:type="character" w:customStyle="1" w:styleId="grame">
    <w:name w:val="grame"/>
    <w:basedOn w:val="Fuentedeprrafopredeter"/>
    <w:rsid w:val="00967A47"/>
  </w:style>
  <w:style w:type="character" w:customStyle="1" w:styleId="style5">
    <w:name w:val="style5"/>
    <w:basedOn w:val="Fuentedeprrafopredeter"/>
    <w:rsid w:val="00967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462356">
      <w:bodyDiv w:val="1"/>
      <w:marLeft w:val="0"/>
      <w:marRight w:val="0"/>
      <w:marTop w:val="0"/>
      <w:marBottom w:val="0"/>
      <w:divBdr>
        <w:top w:val="none" w:sz="0" w:space="0" w:color="auto"/>
        <w:left w:val="none" w:sz="0" w:space="0" w:color="auto"/>
        <w:bottom w:val="none" w:sz="0" w:space="0" w:color="auto"/>
        <w:right w:val="none" w:sz="0" w:space="0" w:color="auto"/>
      </w:divBdr>
      <w:divsChild>
        <w:div w:id="1355881934">
          <w:marLeft w:val="0"/>
          <w:marRight w:val="0"/>
          <w:marTop w:val="0"/>
          <w:marBottom w:val="0"/>
          <w:divBdr>
            <w:top w:val="none" w:sz="0" w:space="0" w:color="auto"/>
            <w:left w:val="none" w:sz="0" w:space="0" w:color="auto"/>
            <w:bottom w:val="none" w:sz="0" w:space="0" w:color="auto"/>
            <w:right w:val="none" w:sz="0" w:space="0" w:color="auto"/>
          </w:divBdr>
          <w:divsChild>
            <w:div w:id="995379488">
              <w:marLeft w:val="0"/>
              <w:marRight w:val="0"/>
              <w:marTop w:val="0"/>
              <w:marBottom w:val="0"/>
              <w:divBdr>
                <w:top w:val="none" w:sz="0" w:space="0" w:color="auto"/>
                <w:left w:val="none" w:sz="0" w:space="0" w:color="auto"/>
                <w:bottom w:val="none" w:sz="0" w:space="0" w:color="auto"/>
                <w:right w:val="none" w:sz="0" w:space="0" w:color="auto"/>
              </w:divBdr>
              <w:divsChild>
                <w:div w:id="48654220">
                  <w:marLeft w:val="0"/>
                  <w:marRight w:val="0"/>
                  <w:marTop w:val="0"/>
                  <w:marBottom w:val="0"/>
                  <w:divBdr>
                    <w:top w:val="none" w:sz="0" w:space="0" w:color="auto"/>
                    <w:left w:val="none" w:sz="0" w:space="0" w:color="auto"/>
                    <w:bottom w:val="none" w:sz="0" w:space="0" w:color="auto"/>
                    <w:right w:val="none" w:sz="0" w:space="0" w:color="auto"/>
                  </w:divBdr>
                </w:div>
                <w:div w:id="472674347">
                  <w:marLeft w:val="0"/>
                  <w:marRight w:val="0"/>
                  <w:marTop w:val="0"/>
                  <w:marBottom w:val="0"/>
                  <w:divBdr>
                    <w:top w:val="none" w:sz="0" w:space="0" w:color="auto"/>
                    <w:left w:val="none" w:sz="0" w:space="0" w:color="auto"/>
                    <w:bottom w:val="none" w:sz="0" w:space="0" w:color="auto"/>
                    <w:right w:val="none" w:sz="0" w:space="0" w:color="auto"/>
                  </w:divBdr>
                </w:div>
                <w:div w:id="1072967743">
                  <w:marLeft w:val="0"/>
                  <w:marRight w:val="0"/>
                  <w:marTop w:val="0"/>
                  <w:marBottom w:val="0"/>
                  <w:divBdr>
                    <w:top w:val="none" w:sz="0" w:space="0" w:color="auto"/>
                    <w:left w:val="none" w:sz="0" w:space="0" w:color="auto"/>
                    <w:bottom w:val="none" w:sz="0" w:space="0" w:color="auto"/>
                    <w:right w:val="none" w:sz="0" w:space="0" w:color="auto"/>
                  </w:divBdr>
                </w:div>
                <w:div w:id="2090497486">
                  <w:marLeft w:val="0"/>
                  <w:marRight w:val="0"/>
                  <w:marTop w:val="0"/>
                  <w:marBottom w:val="0"/>
                  <w:divBdr>
                    <w:top w:val="none" w:sz="0" w:space="0" w:color="auto"/>
                    <w:left w:val="none" w:sz="0" w:space="0" w:color="auto"/>
                    <w:bottom w:val="none" w:sz="0" w:space="0" w:color="auto"/>
                    <w:right w:val="none" w:sz="0" w:space="0" w:color="auto"/>
                  </w:divBdr>
                </w:div>
                <w:div w:id="186263240">
                  <w:marLeft w:val="0"/>
                  <w:marRight w:val="0"/>
                  <w:marTop w:val="0"/>
                  <w:marBottom w:val="0"/>
                  <w:divBdr>
                    <w:top w:val="none" w:sz="0" w:space="0" w:color="auto"/>
                    <w:left w:val="none" w:sz="0" w:space="0" w:color="auto"/>
                    <w:bottom w:val="none" w:sz="0" w:space="0" w:color="auto"/>
                    <w:right w:val="none" w:sz="0" w:space="0" w:color="auto"/>
                  </w:divBdr>
                </w:div>
                <w:div w:id="1471358211">
                  <w:marLeft w:val="0"/>
                  <w:marRight w:val="0"/>
                  <w:marTop w:val="0"/>
                  <w:marBottom w:val="0"/>
                  <w:divBdr>
                    <w:top w:val="none" w:sz="0" w:space="0" w:color="auto"/>
                    <w:left w:val="none" w:sz="0" w:space="0" w:color="auto"/>
                    <w:bottom w:val="none" w:sz="0" w:space="0" w:color="auto"/>
                    <w:right w:val="none" w:sz="0" w:space="0" w:color="auto"/>
                  </w:divBdr>
                </w:div>
                <w:div w:id="2120835676">
                  <w:marLeft w:val="0"/>
                  <w:marRight w:val="0"/>
                  <w:marTop w:val="0"/>
                  <w:marBottom w:val="0"/>
                  <w:divBdr>
                    <w:top w:val="none" w:sz="0" w:space="0" w:color="auto"/>
                    <w:left w:val="none" w:sz="0" w:space="0" w:color="auto"/>
                    <w:bottom w:val="none" w:sz="0" w:space="0" w:color="auto"/>
                    <w:right w:val="none" w:sz="0" w:space="0" w:color="auto"/>
                  </w:divBdr>
                </w:div>
                <w:div w:id="384450250">
                  <w:marLeft w:val="0"/>
                  <w:marRight w:val="0"/>
                  <w:marTop w:val="0"/>
                  <w:marBottom w:val="0"/>
                  <w:divBdr>
                    <w:top w:val="none" w:sz="0" w:space="0" w:color="auto"/>
                    <w:left w:val="none" w:sz="0" w:space="0" w:color="auto"/>
                    <w:bottom w:val="none" w:sz="0" w:space="0" w:color="auto"/>
                    <w:right w:val="none" w:sz="0" w:space="0" w:color="auto"/>
                  </w:divBdr>
                </w:div>
                <w:div w:id="1800564830">
                  <w:marLeft w:val="0"/>
                  <w:marRight w:val="0"/>
                  <w:marTop w:val="0"/>
                  <w:marBottom w:val="0"/>
                  <w:divBdr>
                    <w:top w:val="none" w:sz="0" w:space="0" w:color="auto"/>
                    <w:left w:val="none" w:sz="0" w:space="0" w:color="auto"/>
                    <w:bottom w:val="none" w:sz="0" w:space="0" w:color="auto"/>
                    <w:right w:val="none" w:sz="0" w:space="0" w:color="auto"/>
                  </w:divBdr>
                </w:div>
                <w:div w:id="1720395973">
                  <w:marLeft w:val="0"/>
                  <w:marRight w:val="0"/>
                  <w:marTop w:val="0"/>
                  <w:marBottom w:val="0"/>
                  <w:divBdr>
                    <w:top w:val="none" w:sz="0" w:space="0" w:color="auto"/>
                    <w:left w:val="none" w:sz="0" w:space="0" w:color="auto"/>
                    <w:bottom w:val="none" w:sz="0" w:space="0" w:color="auto"/>
                    <w:right w:val="none" w:sz="0" w:space="0" w:color="auto"/>
                  </w:divBdr>
                </w:div>
                <w:div w:id="685904615">
                  <w:marLeft w:val="0"/>
                  <w:marRight w:val="0"/>
                  <w:marTop w:val="0"/>
                  <w:marBottom w:val="0"/>
                  <w:divBdr>
                    <w:top w:val="none" w:sz="0" w:space="0" w:color="auto"/>
                    <w:left w:val="none" w:sz="0" w:space="0" w:color="auto"/>
                    <w:bottom w:val="none" w:sz="0" w:space="0" w:color="auto"/>
                    <w:right w:val="none" w:sz="0" w:space="0" w:color="auto"/>
                  </w:divBdr>
                </w:div>
                <w:div w:id="1169564845">
                  <w:marLeft w:val="0"/>
                  <w:marRight w:val="0"/>
                  <w:marTop w:val="0"/>
                  <w:marBottom w:val="0"/>
                  <w:divBdr>
                    <w:top w:val="none" w:sz="0" w:space="0" w:color="auto"/>
                    <w:left w:val="none" w:sz="0" w:space="0" w:color="auto"/>
                    <w:bottom w:val="none" w:sz="0" w:space="0" w:color="auto"/>
                    <w:right w:val="none" w:sz="0" w:space="0" w:color="auto"/>
                  </w:divBdr>
                </w:div>
                <w:div w:id="510995263">
                  <w:marLeft w:val="0"/>
                  <w:marRight w:val="0"/>
                  <w:marTop w:val="0"/>
                  <w:marBottom w:val="0"/>
                  <w:divBdr>
                    <w:top w:val="none" w:sz="0" w:space="0" w:color="auto"/>
                    <w:left w:val="none" w:sz="0" w:space="0" w:color="auto"/>
                    <w:bottom w:val="none" w:sz="0" w:space="0" w:color="auto"/>
                    <w:right w:val="none" w:sz="0" w:space="0" w:color="auto"/>
                  </w:divBdr>
                </w:div>
                <w:div w:id="524173987">
                  <w:marLeft w:val="0"/>
                  <w:marRight w:val="0"/>
                  <w:marTop w:val="0"/>
                  <w:marBottom w:val="0"/>
                  <w:divBdr>
                    <w:top w:val="none" w:sz="0" w:space="0" w:color="auto"/>
                    <w:left w:val="none" w:sz="0" w:space="0" w:color="auto"/>
                    <w:bottom w:val="none" w:sz="0" w:space="0" w:color="auto"/>
                    <w:right w:val="none" w:sz="0" w:space="0" w:color="auto"/>
                  </w:divBdr>
                </w:div>
                <w:div w:id="2754446">
                  <w:marLeft w:val="0"/>
                  <w:marRight w:val="0"/>
                  <w:marTop w:val="0"/>
                  <w:marBottom w:val="0"/>
                  <w:divBdr>
                    <w:top w:val="none" w:sz="0" w:space="0" w:color="auto"/>
                    <w:left w:val="none" w:sz="0" w:space="0" w:color="auto"/>
                    <w:bottom w:val="none" w:sz="0" w:space="0" w:color="auto"/>
                    <w:right w:val="none" w:sz="0" w:space="0" w:color="auto"/>
                  </w:divBdr>
                </w:div>
                <w:div w:id="1406613161">
                  <w:marLeft w:val="0"/>
                  <w:marRight w:val="0"/>
                  <w:marTop w:val="0"/>
                  <w:marBottom w:val="0"/>
                  <w:divBdr>
                    <w:top w:val="none" w:sz="0" w:space="0" w:color="auto"/>
                    <w:left w:val="none" w:sz="0" w:space="0" w:color="auto"/>
                    <w:bottom w:val="none" w:sz="0" w:space="0" w:color="auto"/>
                    <w:right w:val="none" w:sz="0" w:space="0" w:color="auto"/>
                  </w:divBdr>
                </w:div>
                <w:div w:id="76900745">
                  <w:marLeft w:val="0"/>
                  <w:marRight w:val="0"/>
                  <w:marTop w:val="0"/>
                  <w:marBottom w:val="0"/>
                  <w:divBdr>
                    <w:top w:val="none" w:sz="0" w:space="0" w:color="auto"/>
                    <w:left w:val="none" w:sz="0" w:space="0" w:color="auto"/>
                    <w:bottom w:val="none" w:sz="0" w:space="0" w:color="auto"/>
                    <w:right w:val="none" w:sz="0" w:space="0" w:color="auto"/>
                  </w:divBdr>
                </w:div>
                <w:div w:id="1449742130">
                  <w:marLeft w:val="0"/>
                  <w:marRight w:val="0"/>
                  <w:marTop w:val="0"/>
                  <w:marBottom w:val="0"/>
                  <w:divBdr>
                    <w:top w:val="none" w:sz="0" w:space="0" w:color="auto"/>
                    <w:left w:val="none" w:sz="0" w:space="0" w:color="auto"/>
                    <w:bottom w:val="none" w:sz="0" w:space="0" w:color="auto"/>
                    <w:right w:val="none" w:sz="0" w:space="0" w:color="auto"/>
                  </w:divBdr>
                </w:div>
                <w:div w:id="1140879802">
                  <w:marLeft w:val="0"/>
                  <w:marRight w:val="0"/>
                  <w:marTop w:val="0"/>
                  <w:marBottom w:val="0"/>
                  <w:divBdr>
                    <w:top w:val="none" w:sz="0" w:space="0" w:color="auto"/>
                    <w:left w:val="none" w:sz="0" w:space="0" w:color="auto"/>
                    <w:bottom w:val="none" w:sz="0" w:space="0" w:color="auto"/>
                    <w:right w:val="none" w:sz="0" w:space="0" w:color="auto"/>
                  </w:divBdr>
                </w:div>
                <w:div w:id="93090369">
                  <w:marLeft w:val="0"/>
                  <w:marRight w:val="0"/>
                  <w:marTop w:val="0"/>
                  <w:marBottom w:val="0"/>
                  <w:divBdr>
                    <w:top w:val="none" w:sz="0" w:space="0" w:color="auto"/>
                    <w:left w:val="none" w:sz="0" w:space="0" w:color="auto"/>
                    <w:bottom w:val="none" w:sz="0" w:space="0" w:color="auto"/>
                    <w:right w:val="none" w:sz="0" w:space="0" w:color="auto"/>
                  </w:divBdr>
                </w:div>
                <w:div w:id="1427924857">
                  <w:marLeft w:val="0"/>
                  <w:marRight w:val="0"/>
                  <w:marTop w:val="0"/>
                  <w:marBottom w:val="0"/>
                  <w:divBdr>
                    <w:top w:val="none" w:sz="0" w:space="0" w:color="auto"/>
                    <w:left w:val="none" w:sz="0" w:space="0" w:color="auto"/>
                    <w:bottom w:val="none" w:sz="0" w:space="0" w:color="auto"/>
                    <w:right w:val="none" w:sz="0" w:space="0" w:color="auto"/>
                  </w:divBdr>
                </w:div>
                <w:div w:id="100081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ncalderon\Desktop\nrm_articulo.aspx?param1=NRA&amp;nValor1=1&amp;nValor2=53738&amp;nValor3=105693&amp;nValor5=10" TargetMode="External"/><Relationship Id="rId18" Type="http://schemas.openxmlformats.org/officeDocument/2006/relationships/hyperlink" Target="file:///C:\Users\mncalderon\Desktop\nrm_articulo.aspx?param1=NRA&amp;nValor1=1&amp;nValor2=53738&amp;nValor3=105693&amp;nValor5=15" TargetMode="External"/><Relationship Id="rId26" Type="http://schemas.openxmlformats.org/officeDocument/2006/relationships/hyperlink" Target="file:///C:\Users\mncalderon\Desktop\nrm_articulo.aspx?param1=NRA&amp;nValor1=1&amp;nValor2=53738&amp;nValor3=105693&amp;nValor5=23" TargetMode="External"/><Relationship Id="rId39" Type="http://schemas.openxmlformats.org/officeDocument/2006/relationships/hyperlink" Target="file:///C:\Users\mncalderon\Desktop\nrm_articulo.aspx?param1=NRA&amp;nValor1=1&amp;nValor2=53738&amp;nValor3=105693&amp;nValor5=36" TargetMode="External"/><Relationship Id="rId21" Type="http://schemas.openxmlformats.org/officeDocument/2006/relationships/hyperlink" Target="file:///C:\Users\mncalderon\Desktop\nrm_articulo.aspx?param1=NRA&amp;nValor1=1&amp;nValor2=53738&amp;nValor3=105693&amp;nValor5=18" TargetMode="External"/><Relationship Id="rId34" Type="http://schemas.openxmlformats.org/officeDocument/2006/relationships/hyperlink" Target="file:///C:\Users\mncalderon\Desktop\nrm_articulo.aspx?param1=NRA&amp;nValor1=1&amp;nValor2=53738&amp;nValor3=105693&amp;nValor5=31" TargetMode="External"/><Relationship Id="rId42" Type="http://schemas.openxmlformats.org/officeDocument/2006/relationships/hyperlink" Target="file:///C:\Users\mncalderon\Desktop\nrm_articulo.aspx?param1=NRA&amp;nValor1=1&amp;nValor2=53738&amp;nValor3=105693&amp;nValor5=39" TargetMode="External"/><Relationship Id="rId47" Type="http://schemas.openxmlformats.org/officeDocument/2006/relationships/hyperlink" Target="file:///C:\Users\mncalderon\Desktop\nrm_articulo.aspx?param1=NRA&amp;nValor1=1&amp;nValor2=53738&amp;nValor3=105693&amp;nValor5=44" TargetMode="External"/><Relationship Id="rId50" Type="http://schemas.openxmlformats.org/officeDocument/2006/relationships/hyperlink" Target="file:///C:\Users\mncalderon\Desktop\nrm_articulo.aspx?param1=NRA&amp;nValor1=1&amp;nValor2=53738&amp;nValor3=105693&amp;nValor5=46" TargetMode="External"/><Relationship Id="rId55" Type="http://schemas.openxmlformats.org/officeDocument/2006/relationships/hyperlink" Target="file:///C:\Users\mncalderon\Desktop\nrm_articulo.aspx?param1=NRA&amp;nValor1=1&amp;nValor2=53738&amp;nValor3=105693&amp;nValor5=51" TargetMode="External"/><Relationship Id="rId63" Type="http://schemas.openxmlformats.org/officeDocument/2006/relationships/hyperlink" Target="file:///C:\Users\mncalderon\Desktop\nrm_articulo.aspx?param1=NRA&amp;nValor1=1&amp;nValor2=53738&amp;nValor3=105693&amp;nValor5=59" TargetMode="External"/><Relationship Id="rId68" Type="http://schemas.openxmlformats.org/officeDocument/2006/relationships/hyperlink" Target="file:///C:\Users\mncalderon\Desktop\nrm_articulo.aspx?param1=NRA&amp;nValor1=1&amp;nValor2=53738&amp;nValor3=105693&amp;nValor5=64" TargetMode="External"/><Relationship Id="rId76" Type="http://schemas.openxmlformats.org/officeDocument/2006/relationships/hyperlink" Target="file:///C:\Users\mncalderon\Desktop\nrm_articulo.aspx?param1=NRA&amp;nValor1=1&amp;nValor2=53738&amp;nValor3=105693&amp;nValor5=72" TargetMode="External"/><Relationship Id="rId7" Type="http://schemas.openxmlformats.org/officeDocument/2006/relationships/hyperlink" Target="file:///C:\Users\mncalderon\Desktop\nrm_articulo.aspx?param1=NRA&amp;nValor1=1&amp;nValor2=53738&amp;nValor3=105693&amp;nValor5=4" TargetMode="External"/><Relationship Id="rId71" Type="http://schemas.openxmlformats.org/officeDocument/2006/relationships/hyperlink" Target="file:///C:\Users\mncalderon\Desktop\nrm_articulo.aspx?param1=NRA&amp;nValor1=1&amp;nValor2=53738&amp;nValor3=105693&amp;nValor5=67" TargetMode="External"/><Relationship Id="rId2" Type="http://schemas.microsoft.com/office/2007/relationships/stylesWithEffects" Target="stylesWithEffects.xml"/><Relationship Id="rId16" Type="http://schemas.openxmlformats.org/officeDocument/2006/relationships/hyperlink" Target="file:///C:\Users\mncalderon\Desktop\nrm_articulo.aspx?param1=NRA&amp;nValor1=1&amp;nValor2=53738&amp;nValor3=105693&amp;nValor5=13" TargetMode="External"/><Relationship Id="rId29" Type="http://schemas.openxmlformats.org/officeDocument/2006/relationships/hyperlink" Target="file:///C:\Users\mncalderon\Desktop\nrm_articulo.aspx?param1=NRA&amp;nValor1=1&amp;nValor2=53738&amp;nValor3=105693&amp;nValor5=26" TargetMode="External"/><Relationship Id="rId11" Type="http://schemas.openxmlformats.org/officeDocument/2006/relationships/hyperlink" Target="file:///C:\Users\mncalderon\Desktop\nrm_articulo.aspx?param1=NRA&amp;nValor1=1&amp;nValor2=53738&amp;nValor3=105693&amp;nValor5=8" TargetMode="External"/><Relationship Id="rId24" Type="http://schemas.openxmlformats.org/officeDocument/2006/relationships/hyperlink" Target="file:///C:\Users\mncalderon\Desktop\nrm_articulo.aspx?param1=NRA&amp;nValor1=1&amp;nValor2=53738&amp;nValor3=105693&amp;nValor5=21" TargetMode="External"/><Relationship Id="rId32" Type="http://schemas.openxmlformats.org/officeDocument/2006/relationships/hyperlink" Target="file:///C:\Users\mncalderon\Desktop\nrm_articulo.aspx?param1=NRA&amp;nValor1=1&amp;nValor2=53738&amp;nValor3=105693&amp;nValor5=29" TargetMode="External"/><Relationship Id="rId37" Type="http://schemas.openxmlformats.org/officeDocument/2006/relationships/hyperlink" Target="file:///C:\Users\mncalderon\Desktop\nrm_articulo.aspx?param1=NRA&amp;nValor1=1&amp;nValor2=53738&amp;nValor3=105693&amp;nValor5=34" TargetMode="External"/><Relationship Id="rId40" Type="http://schemas.openxmlformats.org/officeDocument/2006/relationships/hyperlink" Target="file:///C:\Users\mncalderon\Desktop\nrm_articulo.aspx?param1=NRA&amp;nValor1=1&amp;nValor2=53738&amp;nValor3=105693&amp;nValor5=37" TargetMode="External"/><Relationship Id="rId45" Type="http://schemas.openxmlformats.org/officeDocument/2006/relationships/hyperlink" Target="file:///C:\Users\mncalderon\Desktop\nrm_articulo.aspx?param1=NRA&amp;nValor1=1&amp;nValor2=53738&amp;nValor3=105693&amp;nValor5=42" TargetMode="External"/><Relationship Id="rId53" Type="http://schemas.openxmlformats.org/officeDocument/2006/relationships/hyperlink" Target="file:///C:\Users\mncalderon\Desktop\nrm_articulo.aspx?param1=NRA&amp;nValor1=1&amp;nValor2=53738&amp;nValor3=105693&amp;nValor5=49" TargetMode="External"/><Relationship Id="rId58" Type="http://schemas.openxmlformats.org/officeDocument/2006/relationships/hyperlink" Target="file:///C:\Users\mncalderon\Desktop\nrm_articulo.aspx?param1=NRA&amp;nValor1=1&amp;nValor2=53738&amp;nValor3=105693&amp;nValor5=54" TargetMode="External"/><Relationship Id="rId66" Type="http://schemas.openxmlformats.org/officeDocument/2006/relationships/hyperlink" Target="file:///C:\Users\mncalderon\Desktop\nrm_articulo.aspx?param1=NRA&amp;nValor1=1&amp;nValor2=53738&amp;nValor3=105693&amp;nValor5=62" TargetMode="External"/><Relationship Id="rId74" Type="http://schemas.openxmlformats.org/officeDocument/2006/relationships/hyperlink" Target="file:///C:\Users\mncalderon\Desktop\nrm_articulo.aspx?param1=NRA&amp;nValor1=1&amp;nValor2=53738&amp;nValor3=105693&amp;nValor5=70" TargetMode="External"/><Relationship Id="rId79" Type="http://schemas.openxmlformats.org/officeDocument/2006/relationships/fontTable" Target="fontTable.xml"/><Relationship Id="rId5" Type="http://schemas.openxmlformats.org/officeDocument/2006/relationships/hyperlink" Target="file:///C:\Users\mncalderon\Desktop\nrm_articulo.aspx?param1=NRA&amp;nValor1=1&amp;nValor2=53738&amp;nValor3=105693&amp;nValor5=2" TargetMode="External"/><Relationship Id="rId61" Type="http://schemas.openxmlformats.org/officeDocument/2006/relationships/hyperlink" Target="file:///C:\Users\mncalderon\Desktop\nrm_articulo.aspx?param1=NRA&amp;nValor1=1&amp;nValor2=53738&amp;nValor3=105693&amp;nValor5=57" TargetMode="External"/><Relationship Id="rId10" Type="http://schemas.openxmlformats.org/officeDocument/2006/relationships/hyperlink" Target="file:///C:\Users\mncalderon\Desktop\nrm_articulo.aspx?param1=NRA&amp;nValor1=1&amp;nValor2=53738&amp;nValor3=105693&amp;nValor5=7" TargetMode="External"/><Relationship Id="rId19" Type="http://schemas.openxmlformats.org/officeDocument/2006/relationships/hyperlink" Target="file:///C:\Users\mncalderon\Desktop\nrm_articulo.aspx?param1=NRA&amp;nValor1=1&amp;nValor2=53738&amp;nValor3=105693&amp;nValor5=16" TargetMode="External"/><Relationship Id="rId31" Type="http://schemas.openxmlformats.org/officeDocument/2006/relationships/hyperlink" Target="file:///C:\Users\mncalderon\Desktop\nrm_articulo.aspx?param1=NRA&amp;nValor1=1&amp;nValor2=53738&amp;nValor3=105693&amp;nValor5=28" TargetMode="External"/><Relationship Id="rId44" Type="http://schemas.openxmlformats.org/officeDocument/2006/relationships/hyperlink" Target="file:///C:\Users\mncalderon\Desktop\nrm_articulo.aspx?param1=NRA&amp;nValor1=1&amp;nValor2=53738&amp;nValor3=105693&amp;nValor5=41" TargetMode="External"/><Relationship Id="rId52" Type="http://schemas.openxmlformats.org/officeDocument/2006/relationships/hyperlink" Target="file:///C:\Users\mncalderon\Desktop\nrm_articulo.aspx?param1=NRA&amp;nValor1=1&amp;nValor2=53738&amp;nValor3=105693&amp;nValor5=48" TargetMode="External"/><Relationship Id="rId60" Type="http://schemas.openxmlformats.org/officeDocument/2006/relationships/hyperlink" Target="file:///C:\Users\mncalderon\Desktop\nrm_articulo.aspx?param1=NRA&amp;nValor1=1&amp;nValor2=53738&amp;nValor3=105693&amp;nValor5=56" TargetMode="External"/><Relationship Id="rId65" Type="http://schemas.openxmlformats.org/officeDocument/2006/relationships/hyperlink" Target="file:///C:\Users\mncalderon\Desktop\nrm_articulo.aspx?param1=NRA&amp;nValor1=1&amp;nValor2=53738&amp;nValor3=105693&amp;nValor5=61" TargetMode="External"/><Relationship Id="rId73" Type="http://schemas.openxmlformats.org/officeDocument/2006/relationships/hyperlink" Target="file:///C:\Users\mncalderon\Desktop\nrm_articulo.aspx?param1=NRA&amp;nValor1=1&amp;nValor2=53738&amp;nValor3=105693&amp;nValor5=69" TargetMode="External"/><Relationship Id="rId78" Type="http://schemas.openxmlformats.org/officeDocument/2006/relationships/hyperlink" Target="file:///C:\Users\mncalderon\Desktop\Texto%20Completo%20Norma%208422.htm" TargetMode="External"/><Relationship Id="rId4" Type="http://schemas.openxmlformats.org/officeDocument/2006/relationships/webSettings" Target="webSettings.xml"/><Relationship Id="rId9" Type="http://schemas.openxmlformats.org/officeDocument/2006/relationships/hyperlink" Target="file:///C:\Users\mncalderon\Desktop\nrm_articulo.aspx?param1=NRA&amp;nValor1=1&amp;nValor2=53738&amp;nValor3=105693&amp;nValor5=6" TargetMode="External"/><Relationship Id="rId14" Type="http://schemas.openxmlformats.org/officeDocument/2006/relationships/hyperlink" Target="file:///C:\Users\mncalderon\Desktop\nrm_articulo.aspx?param1=NRA&amp;nValor1=1&amp;nValor2=53738&amp;nValor3=105693&amp;nValor5=11" TargetMode="External"/><Relationship Id="rId22" Type="http://schemas.openxmlformats.org/officeDocument/2006/relationships/hyperlink" Target="file:///C:\Users\mncalderon\Desktop\nrm_articulo.aspx?param1=NRA&amp;nValor1=1&amp;nValor2=53738&amp;nValor3=105693&amp;nValor5=19" TargetMode="External"/><Relationship Id="rId27" Type="http://schemas.openxmlformats.org/officeDocument/2006/relationships/hyperlink" Target="file:///C:\Users\mncalderon\Desktop\nrm_articulo.aspx?param1=NRA&amp;nValor1=1&amp;nValor2=53738&amp;nValor3=105693&amp;nValor5=24" TargetMode="External"/><Relationship Id="rId30" Type="http://schemas.openxmlformats.org/officeDocument/2006/relationships/hyperlink" Target="file:///C:\Users\mncalderon\Desktop\nrm_articulo.aspx?param1=NRA&amp;nValor1=1&amp;nValor2=53738&amp;nValor3=105693&amp;nValor5=27" TargetMode="External"/><Relationship Id="rId35" Type="http://schemas.openxmlformats.org/officeDocument/2006/relationships/hyperlink" Target="file:///C:\Users\mncalderon\Desktop\nrm_articulo.aspx?param1=NRA&amp;nValor1=1&amp;nValor2=53738&amp;nValor3=105693&amp;nValor5=32" TargetMode="External"/><Relationship Id="rId43" Type="http://schemas.openxmlformats.org/officeDocument/2006/relationships/hyperlink" Target="file:///C:\Users\mncalderon\Desktop\nrm_articulo.aspx?param1=NRA&amp;nValor1=1&amp;nValor2=53738&amp;nValor3=105693&amp;nValor5=40" TargetMode="External"/><Relationship Id="rId48" Type="http://schemas.openxmlformats.org/officeDocument/2006/relationships/hyperlink" Target="file:///C:\Users\mncalderon\Desktop\nrm_articulo.aspx?param1=NRA&amp;nValor1=1&amp;nValor2=53738&amp;nValor3=105693&amp;nValor5=45" TargetMode="External"/><Relationship Id="rId56" Type="http://schemas.openxmlformats.org/officeDocument/2006/relationships/hyperlink" Target="file:///C:\Users\mncalderon\Desktop\nrm_articulo.aspx?param1=NRA&amp;nValor1=1&amp;nValor2=53738&amp;nValor3=105693&amp;nValor5=52" TargetMode="External"/><Relationship Id="rId64" Type="http://schemas.openxmlformats.org/officeDocument/2006/relationships/hyperlink" Target="file:///C:\Users\mncalderon\Desktop\nrm_articulo.aspx?param1=NRA&amp;nValor1=1&amp;nValor2=53738&amp;nValor3=105693&amp;nValor5=60" TargetMode="External"/><Relationship Id="rId69" Type="http://schemas.openxmlformats.org/officeDocument/2006/relationships/hyperlink" Target="file:///C:\Users\mncalderon\Desktop\nrm_articulo.aspx?param1=NRA&amp;nValor1=1&amp;nValor2=53738&amp;nValor3=105693&amp;nValor5=65" TargetMode="External"/><Relationship Id="rId77" Type="http://schemas.openxmlformats.org/officeDocument/2006/relationships/hyperlink" Target="file:///C:\Users\mncalderon\Desktop\nrm_articulo.aspx?param1=NRA&amp;nValor1=1&amp;nValor2=53738&amp;nValor3=105693&amp;nValor5=73" TargetMode="External"/><Relationship Id="rId8" Type="http://schemas.openxmlformats.org/officeDocument/2006/relationships/hyperlink" Target="file:///C:\Users\mncalderon\Desktop\nrm_articulo.aspx?param1=NRA&amp;nValor1=1&amp;nValor2=53738&amp;nValor3=105693&amp;nValor5=5" TargetMode="External"/><Relationship Id="rId51" Type="http://schemas.openxmlformats.org/officeDocument/2006/relationships/hyperlink" Target="file:///C:\Users\mncalderon\Desktop\nrm_articulo.aspx?param1=NRA&amp;nValor1=1&amp;nValor2=53738&amp;nValor3=105693&amp;nValor5=47" TargetMode="External"/><Relationship Id="rId72" Type="http://schemas.openxmlformats.org/officeDocument/2006/relationships/hyperlink" Target="file:///C:\Users\mncalderon\Desktop\nrm_articulo.aspx?param1=NRA&amp;nValor1=1&amp;nValor2=53738&amp;nValor3=105693&amp;nValor5=6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file:///C:\Users\mncalderon\Desktop\nrm_articulo.aspx?param1=NRA&amp;nValor1=1&amp;nValor2=53738&amp;nValor3=105693&amp;nValor5=9" TargetMode="External"/><Relationship Id="rId17" Type="http://schemas.openxmlformats.org/officeDocument/2006/relationships/hyperlink" Target="file:///C:\Users\mncalderon\Desktop\nrm_articulo.aspx?param1=NRA&amp;nValor1=1&amp;nValor2=53738&amp;nValor3=105693&amp;nValor5=14" TargetMode="External"/><Relationship Id="rId25" Type="http://schemas.openxmlformats.org/officeDocument/2006/relationships/hyperlink" Target="file:///C:\Users\mncalderon\Desktop\nrm_articulo.aspx?param1=NRA&amp;nValor1=1&amp;nValor2=53738&amp;nValor3=105693&amp;nValor5=22" TargetMode="External"/><Relationship Id="rId33" Type="http://schemas.openxmlformats.org/officeDocument/2006/relationships/hyperlink" Target="file:///C:\Users\mncalderon\Desktop\nrm_articulo.aspx?param1=NRA&amp;nValor1=1&amp;nValor2=53738&amp;nValor3=105693&amp;nValor5=30" TargetMode="External"/><Relationship Id="rId38" Type="http://schemas.openxmlformats.org/officeDocument/2006/relationships/hyperlink" Target="file:///C:\Users\mncalderon\Desktop\nrm_articulo.aspx?param1=NRA&amp;nValor1=1&amp;nValor2=53738&amp;nValor3=105693&amp;nValor5=35" TargetMode="External"/><Relationship Id="rId46" Type="http://schemas.openxmlformats.org/officeDocument/2006/relationships/hyperlink" Target="file:///C:\Users\mncalderon\Desktop\nrm_articulo.aspx?param1=NRA&amp;nValor1=1&amp;nValor2=53738&amp;nValor3=105693&amp;nValor5=43" TargetMode="External"/><Relationship Id="rId59" Type="http://schemas.openxmlformats.org/officeDocument/2006/relationships/hyperlink" Target="file:///C:\Users\mncalderon\Desktop\nrm_articulo.aspx?param1=NRA&amp;nValor1=1&amp;nValor2=53738&amp;nValor3=105693&amp;nValor5=55" TargetMode="External"/><Relationship Id="rId67" Type="http://schemas.openxmlformats.org/officeDocument/2006/relationships/hyperlink" Target="file:///C:\Users\mncalderon\Desktop\nrm_articulo.aspx?param1=NRA&amp;nValor1=1&amp;nValor2=53738&amp;nValor3=105693&amp;nValor5=63" TargetMode="External"/><Relationship Id="rId20" Type="http://schemas.openxmlformats.org/officeDocument/2006/relationships/hyperlink" Target="file:///C:\Users\mncalderon\Desktop\nrm_articulo.aspx?param1=NRA&amp;nValor1=1&amp;nValor2=53738&amp;nValor3=105693&amp;nValor5=17" TargetMode="External"/><Relationship Id="rId41" Type="http://schemas.openxmlformats.org/officeDocument/2006/relationships/hyperlink" Target="file:///C:\Users\mncalderon\Desktop\nrm_articulo.aspx?param1=NRA&amp;nValor1=1&amp;nValor2=53738&amp;nValor3=105693&amp;nValor5=38" TargetMode="External"/><Relationship Id="rId54" Type="http://schemas.openxmlformats.org/officeDocument/2006/relationships/hyperlink" Target="file:///C:\Users\mncalderon\Desktop\nrm_articulo.aspx?param1=NRA&amp;nValor1=1&amp;nValor2=53738&amp;nValor3=105693&amp;nValor5=50" TargetMode="External"/><Relationship Id="rId62" Type="http://schemas.openxmlformats.org/officeDocument/2006/relationships/hyperlink" Target="file:///C:\Users\mncalderon\Desktop\nrm_articulo.aspx?param1=NRA&amp;nValor1=1&amp;nValor2=53738&amp;nValor3=105693&amp;nValor5=58" TargetMode="External"/><Relationship Id="rId70" Type="http://schemas.openxmlformats.org/officeDocument/2006/relationships/hyperlink" Target="file:///C:\Users\mncalderon\Desktop\nrm_articulo.aspx?param1=NRA&amp;nValor1=1&amp;nValor2=53738&amp;nValor3=105693&amp;nValor5=66" TargetMode="External"/><Relationship Id="rId75" Type="http://schemas.openxmlformats.org/officeDocument/2006/relationships/hyperlink" Target="file:///C:\Users\mncalderon\Desktop\nrm_articulo.aspx?param1=NRA&amp;nValor1=1&amp;nValor2=53738&amp;nValor3=105693&amp;nValor5=71" TargetMode="External"/><Relationship Id="rId1" Type="http://schemas.openxmlformats.org/officeDocument/2006/relationships/styles" Target="styles.xml"/><Relationship Id="rId6" Type="http://schemas.openxmlformats.org/officeDocument/2006/relationships/hyperlink" Target="file:///C:\Users\mncalderon\Desktop\nrm_articulo.aspx?param1=NRA&amp;nValor1=1&amp;nValor2=53738&amp;nValor3=105693&amp;nValor5=3" TargetMode="External"/><Relationship Id="rId15" Type="http://schemas.openxmlformats.org/officeDocument/2006/relationships/hyperlink" Target="file:///C:\Users\mncalderon\Desktop\nrm_articulo.aspx?param1=NRA&amp;nValor1=1&amp;nValor2=53738&amp;nValor3=105693&amp;nValor5=12" TargetMode="External"/><Relationship Id="rId23" Type="http://schemas.openxmlformats.org/officeDocument/2006/relationships/hyperlink" Target="file:///C:\Users\mncalderon\Desktop\nrm_articulo.aspx?param1=NRA&amp;nValor1=1&amp;nValor2=53738&amp;nValor3=105693&amp;nValor5=20" TargetMode="External"/><Relationship Id="rId28" Type="http://schemas.openxmlformats.org/officeDocument/2006/relationships/hyperlink" Target="file:///C:\Users\mncalderon\Desktop\nrm_articulo.aspx?param1=NRA&amp;nValor1=1&amp;nValor2=53738&amp;nValor3=105693&amp;nValor5=25" TargetMode="External"/><Relationship Id="rId36" Type="http://schemas.openxmlformats.org/officeDocument/2006/relationships/hyperlink" Target="file:///C:\Users\mncalderon\Desktop\nrm_articulo.aspx?param1=NRA&amp;nValor1=1&amp;nValor2=53738&amp;nValor3=105693&amp;nValor5=33" TargetMode="External"/><Relationship Id="rId49" Type="http://schemas.openxmlformats.org/officeDocument/2006/relationships/hyperlink" Target="file:///C:\Users\mncalderon\Desktop\nrm_articulo.aspx?param1=NRA&amp;nValor1=1&amp;nValor2=53738&amp;nValor3=105693&amp;nValor5=75" TargetMode="External"/><Relationship Id="rId57" Type="http://schemas.openxmlformats.org/officeDocument/2006/relationships/hyperlink" Target="file:///C:\Users\mncalderon\Desktop\nrm_articulo.aspx?param1=NRA&amp;nValor1=1&amp;nValor2=53738&amp;nValor3=105693&amp;nValor5=5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14060</Words>
  <Characters>77330</Characters>
  <Application>Microsoft Office Word</Application>
  <DocSecurity>0</DocSecurity>
  <Lines>644</Lines>
  <Paragraphs>182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 Calderon Rivera</dc:creator>
  <cp:lastModifiedBy>Marianela Calderon Rivera</cp:lastModifiedBy>
  <cp:revision>1</cp:revision>
  <dcterms:created xsi:type="dcterms:W3CDTF">2016-10-03T12:52:00Z</dcterms:created>
  <dcterms:modified xsi:type="dcterms:W3CDTF">2016-10-03T12:53:00Z</dcterms:modified>
</cp:coreProperties>
</file>